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3C0D" w:rsidRPr="00FE106C" w:rsidRDefault="00DE43B0" w:rsidP="00DE43B0">
      <w:pPr>
        <w:pStyle w:val="Heading1"/>
        <w:tabs>
          <w:tab w:val="center" w:pos="5580"/>
          <w:tab w:val="right" w:pos="11160"/>
        </w:tabs>
        <w:ind w:right="-360"/>
        <w:jc w:val="center"/>
        <w:rPr>
          <w:rFonts w:ascii="Gulim" w:eastAsia="Gulim" w:hAnsi="Gulim"/>
        </w:rPr>
      </w:pPr>
      <w:r w:rsidRPr="00FE106C">
        <w:rPr>
          <w:rFonts w:ascii="Gulim" w:eastAsia="Gulim" w:hAnsi="Gulim" w:hint="eastAsia"/>
          <w:sz w:val="20"/>
        </w:rPr>
        <w:t>제3자 파이낸싱 통지</w:t>
      </w:r>
    </w:p>
    <w:p w:rsidR="00BC3C0D" w:rsidRPr="00FE106C" w:rsidRDefault="00DE43B0" w:rsidP="00DE43B0">
      <w:pPr>
        <w:tabs>
          <w:tab w:val="right" w:pos="11160"/>
        </w:tabs>
        <w:ind w:right="-360"/>
        <w:jc w:val="center"/>
        <w:rPr>
          <w:rFonts w:ascii="Gulim" w:eastAsia="Gulim" w:hAnsi="Gulim"/>
          <w:sz w:val="16"/>
        </w:rPr>
      </w:pPr>
      <w:r w:rsidRPr="00FE106C">
        <w:rPr>
          <w:rFonts w:ascii="Gulim" w:eastAsia="Gulim" w:hAnsi="Gulim" w:hint="eastAsia"/>
          <w:sz w:val="20"/>
          <w:lang w:eastAsia="ko-KR"/>
        </w:rPr>
        <w:t>효력발생일: 201</w:t>
      </w:r>
      <w:r w:rsidRPr="00FE106C">
        <w:rPr>
          <w:rFonts w:ascii="Gulim" w:eastAsia="Gulim" w:hAnsi="Gulim"/>
          <w:sz w:val="20"/>
          <w:lang w:eastAsia="ko-KR"/>
        </w:rPr>
        <w:t>4</w:t>
      </w:r>
      <w:r w:rsidRPr="00FE106C">
        <w:rPr>
          <w:rFonts w:ascii="Gulim" w:eastAsia="Gulim" w:hAnsi="Gulim" w:hint="eastAsia"/>
          <w:sz w:val="20"/>
          <w:lang w:eastAsia="ko-KR"/>
        </w:rPr>
        <w:t>.0</w:t>
      </w:r>
      <w:r w:rsidRPr="00FE106C">
        <w:rPr>
          <w:rFonts w:ascii="Gulim" w:eastAsia="Gulim" w:hAnsi="Gulim"/>
          <w:sz w:val="20"/>
          <w:lang w:eastAsia="ko-KR"/>
        </w:rPr>
        <w:t>3</w:t>
      </w:r>
      <w:r w:rsidRPr="00FE106C">
        <w:rPr>
          <w:rFonts w:ascii="Gulim" w:eastAsia="Gulim" w:hAnsi="Gulim" w:hint="eastAsia"/>
          <w:sz w:val="20"/>
          <w:lang w:eastAsia="ko-KR"/>
        </w:rPr>
        <w:t>.</w:t>
      </w:r>
      <w:r w:rsidRPr="00FE106C">
        <w:rPr>
          <w:rFonts w:ascii="Gulim" w:eastAsia="Gulim" w:hAnsi="Gulim"/>
          <w:sz w:val="20"/>
          <w:lang w:eastAsia="ko-KR"/>
        </w:rPr>
        <w:t>17</w:t>
      </w:r>
    </w:p>
    <w:p w:rsidR="00C77652" w:rsidRPr="00FE106C" w:rsidRDefault="00DE43B0" w:rsidP="00616258">
      <w:pPr>
        <w:ind w:right="72"/>
        <w:jc w:val="both"/>
        <w:rPr>
          <w:rFonts w:ascii="Gulim" w:eastAsia="Gulim" w:hAnsi="Gulim" w:cs="Arial"/>
          <w:sz w:val="16"/>
          <w:szCs w:val="16"/>
        </w:rPr>
      </w:pPr>
      <w:r w:rsidRPr="00FE106C">
        <w:rPr>
          <w:rFonts w:ascii="Gulim" w:eastAsia="Gulim" w:hAnsi="Gulim" w:cs="Arial" w:hint="eastAsia"/>
          <w:b/>
          <w:sz w:val="20"/>
        </w:rPr>
        <w:t>목적</w:t>
      </w:r>
      <w:r w:rsidR="00C77652" w:rsidRPr="00FE106C">
        <w:rPr>
          <w:rFonts w:ascii="Gulim" w:eastAsia="Gulim" w:hAnsi="Gulim" w:cs="Arial"/>
          <w:b/>
          <w:sz w:val="16"/>
          <w:szCs w:val="16"/>
        </w:rPr>
        <w:t xml:space="preserve"> </w:t>
      </w:r>
      <w:r w:rsidR="00C77652" w:rsidRPr="00FE106C">
        <w:rPr>
          <w:rFonts w:ascii="Gulim" w:eastAsia="Gulim" w:hAnsi="Gulim" w:cs="Arial"/>
          <w:sz w:val="16"/>
          <w:szCs w:val="16"/>
        </w:rPr>
        <w:t xml:space="preserve"> </w:t>
      </w:r>
    </w:p>
    <w:p w:rsidR="00BC3C0D" w:rsidRPr="00FE106C" w:rsidRDefault="00DE43B0" w:rsidP="00616258">
      <w:pPr>
        <w:tabs>
          <w:tab w:val="right" w:pos="11160"/>
        </w:tabs>
        <w:ind w:right="-360"/>
        <w:jc w:val="both"/>
        <w:rPr>
          <w:rFonts w:ascii="Gulim" w:eastAsia="Gulim" w:hAnsi="Gulim"/>
          <w:sz w:val="16"/>
        </w:rPr>
      </w:pPr>
      <w:r w:rsidRPr="00FE106C">
        <w:rPr>
          <w:rFonts w:ascii="Gulim" w:eastAsia="Gulim" w:hAnsi="Gulim" w:hint="eastAsia"/>
          <w:sz w:val="20"/>
          <w:lang w:eastAsia="ko-KR"/>
        </w:rPr>
        <w:t xml:space="preserve">오라클 또는 오라클의 유통 파트너로부터의 하드웨어, 프로그램 및/또는 서비스(총칭하여 </w:t>
      </w:r>
      <w:r w:rsidRPr="00FE106C">
        <w:rPr>
          <w:rFonts w:ascii="Gulim" w:eastAsia="Gulim" w:hAnsi="Gulim"/>
          <w:sz w:val="20"/>
          <w:lang w:eastAsia="ko-KR"/>
        </w:rPr>
        <w:t>“</w:t>
      </w:r>
      <w:r w:rsidRPr="00FE106C">
        <w:rPr>
          <w:rFonts w:ascii="Gulim" w:eastAsia="Gulim" w:hAnsi="Gulim" w:hint="eastAsia"/>
          <w:sz w:val="20"/>
          <w:lang w:eastAsia="ko-KR"/>
        </w:rPr>
        <w:t>제품</w:t>
      </w:r>
      <w:r w:rsidRPr="00FE106C">
        <w:rPr>
          <w:rFonts w:ascii="Gulim" w:eastAsia="Gulim" w:hAnsi="Gulim"/>
          <w:sz w:val="20"/>
          <w:lang w:eastAsia="ko-KR"/>
        </w:rPr>
        <w:t>”</w:t>
      </w:r>
      <w:r w:rsidRPr="00FE106C">
        <w:rPr>
          <w:rFonts w:ascii="Gulim" w:eastAsia="Gulim" w:hAnsi="Gulim" w:hint="eastAsia"/>
          <w:sz w:val="20"/>
          <w:lang w:eastAsia="ko-KR"/>
        </w:rPr>
        <w:t>) 취득이 파이낸싱에 의한 것이거나 임대된 것인 경우에 대하여, 본 통지는 오라클의 파이낸싱 및 임대 정책을 명시하고 있습니다.  본 통지는 고객 또는 파트너가 공급업체로부터 취득한 제품의 대금을 지급하기 위하여 파이낸싱계약을 체결하는 경우에 적용됩니다.</w:t>
      </w:r>
    </w:p>
    <w:p w:rsidR="00BC3C0D" w:rsidRPr="00FE106C" w:rsidRDefault="00BC3C0D" w:rsidP="00616258">
      <w:pPr>
        <w:pStyle w:val="BodyText"/>
        <w:tabs>
          <w:tab w:val="right" w:pos="11160"/>
        </w:tabs>
        <w:ind w:right="-360"/>
        <w:rPr>
          <w:rFonts w:ascii="Gulim" w:eastAsia="Gulim" w:hAnsi="Gulim"/>
          <w:sz w:val="16"/>
        </w:rPr>
      </w:pPr>
    </w:p>
    <w:p w:rsidR="00C77652" w:rsidRPr="00FE106C" w:rsidRDefault="00DE43B0" w:rsidP="00616258">
      <w:pPr>
        <w:ind w:right="72"/>
        <w:jc w:val="both"/>
        <w:rPr>
          <w:rFonts w:ascii="Gulim" w:eastAsia="Gulim" w:hAnsi="Gulim" w:cs="Arial"/>
          <w:sz w:val="16"/>
          <w:szCs w:val="16"/>
        </w:rPr>
      </w:pPr>
      <w:r w:rsidRPr="00FE106C">
        <w:rPr>
          <w:rFonts w:ascii="Gulim" w:eastAsia="Gulim" w:hAnsi="Gulim" w:hint="eastAsia"/>
          <w:b/>
          <w:sz w:val="20"/>
          <w:lang w:eastAsia="ko-KR"/>
        </w:rPr>
        <w:t>배경</w:t>
      </w:r>
      <w:r w:rsidR="00C77652" w:rsidRPr="00FE106C">
        <w:rPr>
          <w:rFonts w:ascii="Gulim" w:eastAsia="Gulim" w:hAnsi="Gulim" w:cs="Arial"/>
          <w:sz w:val="16"/>
          <w:szCs w:val="16"/>
        </w:rPr>
        <w:t xml:space="preserve">  </w:t>
      </w:r>
    </w:p>
    <w:p w:rsidR="00BC3C0D" w:rsidRPr="00FE106C" w:rsidRDefault="00DE43B0" w:rsidP="00616258">
      <w:pPr>
        <w:pStyle w:val="BodyText"/>
        <w:tabs>
          <w:tab w:val="left" w:pos="360"/>
        </w:tabs>
        <w:ind w:right="-378"/>
        <w:rPr>
          <w:rFonts w:ascii="Gulim" w:eastAsia="Gulim" w:hAnsi="Gulim"/>
          <w:sz w:val="16"/>
        </w:rPr>
      </w:pPr>
      <w:r w:rsidRPr="00FE106C">
        <w:rPr>
          <w:rFonts w:ascii="Gulim" w:eastAsia="Gulim" w:hAnsi="Gulim" w:hint="eastAsia"/>
          <w:lang w:eastAsia="ko-KR"/>
        </w:rPr>
        <w:t>오라클은 개별적으로 판매되었는지 또는 하드웨어(운영체제 및 통합 소프트웨어(예: 펌웨어)를 포함하나 이에 한정되지 아니함)의 일부로 판매되었는지 여부에 불문하고 오라클에 의해 직접, 또는 파트너에 의해 간접적으로 라이선스가 부여된 지적재산권을 보유합니다.  본 제3자 파이낸싱 통지는 거래가 오라클의 정책(지급, 사용 및 오라클 지적재산권의 배급과 관련된 정책을 포함함)을 준수함을 보장하며, 당사자들의 권리 및 관계에 대한 정보를 제공합니다.</w:t>
      </w:r>
      <w:r w:rsidR="00BC3C0D" w:rsidRPr="00FE106C">
        <w:rPr>
          <w:rFonts w:ascii="Gulim" w:eastAsia="Gulim" w:hAnsi="Gulim"/>
          <w:sz w:val="16"/>
        </w:rPr>
        <w:t xml:space="preserve">  </w:t>
      </w:r>
    </w:p>
    <w:p w:rsidR="00BC3C0D" w:rsidRPr="00FE106C" w:rsidRDefault="00BC3C0D" w:rsidP="00616258">
      <w:pPr>
        <w:tabs>
          <w:tab w:val="right" w:pos="11160"/>
        </w:tabs>
        <w:ind w:right="-360"/>
        <w:jc w:val="both"/>
        <w:rPr>
          <w:rFonts w:ascii="Gulim" w:eastAsia="Gulim" w:hAnsi="Gulim"/>
          <w:sz w:val="16"/>
        </w:rPr>
      </w:pPr>
    </w:p>
    <w:p w:rsidR="00DE43B0" w:rsidRPr="00FE106C" w:rsidRDefault="00DE43B0" w:rsidP="00616258">
      <w:pPr>
        <w:tabs>
          <w:tab w:val="right" w:pos="11160"/>
        </w:tabs>
        <w:ind w:right="72"/>
        <w:jc w:val="both"/>
        <w:rPr>
          <w:rFonts w:ascii="Gulim" w:eastAsia="Gulim" w:hAnsi="Gulim"/>
          <w:b/>
          <w:sz w:val="20"/>
          <w:lang w:eastAsia="ko-KR"/>
        </w:rPr>
      </w:pPr>
      <w:r w:rsidRPr="00FE106C">
        <w:rPr>
          <w:rFonts w:ascii="Gulim" w:eastAsia="Gulim" w:hAnsi="Gulim" w:hint="eastAsia"/>
          <w:b/>
          <w:sz w:val="20"/>
          <w:lang w:eastAsia="ko-KR"/>
        </w:rPr>
        <w:t>당사자</w:t>
      </w:r>
    </w:p>
    <w:p w:rsidR="00DE43B0" w:rsidRPr="00FE106C" w:rsidRDefault="00DE43B0" w:rsidP="00DE43B0">
      <w:pPr>
        <w:rPr>
          <w:rFonts w:ascii="Gulim" w:eastAsia="Gulim" w:hAnsi="Gulim"/>
          <w:sz w:val="20"/>
          <w:lang w:eastAsia="ko-KR"/>
        </w:rPr>
      </w:pPr>
      <w:r w:rsidRPr="00FE106C">
        <w:rPr>
          <w:rFonts w:ascii="Gulim" w:eastAsia="Gulim" w:hAnsi="Gulim" w:hint="eastAsia"/>
          <w:sz w:val="20"/>
          <w:u w:val="single"/>
          <w:lang w:eastAsia="ko-KR"/>
        </w:rPr>
        <w:t>고객</w:t>
      </w:r>
      <w:r w:rsidRPr="00FE106C">
        <w:rPr>
          <w:rFonts w:ascii="Gulim" w:eastAsia="Gulim" w:hAnsi="Gulim" w:hint="eastAsia"/>
          <w:sz w:val="20"/>
          <w:lang w:eastAsia="ko-KR"/>
        </w:rPr>
        <w:t>. 하드웨어, 프로그램 및 서비스 사용 권리를 보유하는 최종 사용자를 의미합니다.</w:t>
      </w:r>
    </w:p>
    <w:p w:rsidR="00DE43B0" w:rsidRPr="00FE106C" w:rsidRDefault="00DE43B0" w:rsidP="00DE43B0">
      <w:pPr>
        <w:rPr>
          <w:rFonts w:ascii="Gulim" w:eastAsia="Gulim" w:hAnsi="Gulim"/>
          <w:sz w:val="20"/>
          <w:lang w:eastAsia="ko-KR"/>
        </w:rPr>
      </w:pPr>
      <w:r w:rsidRPr="00FE106C">
        <w:rPr>
          <w:rFonts w:ascii="Gulim" w:eastAsia="Gulim" w:hAnsi="Gulim" w:hint="eastAsia"/>
          <w:sz w:val="20"/>
          <w:u w:val="single"/>
          <w:lang w:eastAsia="ko-KR"/>
        </w:rPr>
        <w:t>자금제공자</w:t>
      </w:r>
      <w:r w:rsidRPr="00FE106C">
        <w:rPr>
          <w:rFonts w:ascii="Gulim" w:eastAsia="Gulim" w:hAnsi="Gulim" w:hint="eastAsia"/>
          <w:sz w:val="20"/>
          <w:lang w:eastAsia="ko-KR"/>
        </w:rPr>
        <w:t>. 파이낸싱계약을 체결하게 될 금융 또는 임대 기관을 의미합니다.</w:t>
      </w:r>
    </w:p>
    <w:p w:rsidR="00DE43B0" w:rsidRPr="00FE106C" w:rsidRDefault="00DE43B0" w:rsidP="00DE43B0">
      <w:pPr>
        <w:rPr>
          <w:rFonts w:ascii="Gulim" w:eastAsia="Gulim" w:hAnsi="Gulim"/>
          <w:sz w:val="20"/>
          <w:lang w:eastAsia="ko-KR"/>
        </w:rPr>
      </w:pPr>
      <w:r w:rsidRPr="00FE106C">
        <w:rPr>
          <w:rFonts w:ascii="Gulim" w:eastAsia="Gulim" w:hAnsi="Gulim" w:hint="eastAsia"/>
          <w:sz w:val="20"/>
          <w:u w:val="single"/>
          <w:lang w:eastAsia="ko-KR"/>
        </w:rPr>
        <w:t>오라클</w:t>
      </w:r>
      <w:r w:rsidRPr="00FE106C">
        <w:rPr>
          <w:rFonts w:ascii="Gulim" w:eastAsia="Gulim" w:hAnsi="Gulim" w:hint="eastAsia"/>
          <w:sz w:val="20"/>
          <w:lang w:eastAsia="ko-KR"/>
        </w:rPr>
        <w:t>.  Oracle Corporation 및 그 계열회사들을 의미합니다.</w:t>
      </w:r>
    </w:p>
    <w:p w:rsidR="00DF77E0" w:rsidRPr="00FE106C" w:rsidRDefault="00DE43B0" w:rsidP="00DE43B0">
      <w:pPr>
        <w:tabs>
          <w:tab w:val="right" w:pos="11160"/>
        </w:tabs>
        <w:ind w:right="-360"/>
        <w:jc w:val="both"/>
        <w:rPr>
          <w:rFonts w:ascii="Gulim" w:eastAsia="Gulim" w:hAnsi="Gulim" w:cs="Arial"/>
          <w:sz w:val="16"/>
          <w:szCs w:val="16"/>
        </w:rPr>
      </w:pPr>
      <w:r w:rsidRPr="00FE106C">
        <w:rPr>
          <w:rFonts w:ascii="Gulim" w:eastAsia="Gulim" w:hAnsi="Gulim" w:hint="eastAsia"/>
          <w:sz w:val="20"/>
          <w:u w:val="single"/>
          <w:lang w:eastAsia="ko-KR"/>
        </w:rPr>
        <w:t>파트너</w:t>
      </w:r>
      <w:r w:rsidRPr="00FE106C">
        <w:rPr>
          <w:rFonts w:ascii="Gulim" w:eastAsia="Gulim" w:hAnsi="Gulim" w:hint="eastAsia"/>
          <w:sz w:val="20"/>
          <w:lang w:eastAsia="ko-KR"/>
        </w:rPr>
        <w:t>. 주문을 (직접 또는 공식 오라클 유통업체를 통해) 이행하기 위하여 하드웨어, 프로그램 및 서비스를 오라클로부터 취득하는 공급업체를 의미합니다.</w:t>
      </w:r>
    </w:p>
    <w:p w:rsidR="00BC3C0D" w:rsidRPr="00FE106C" w:rsidRDefault="00BC3C0D" w:rsidP="00616258">
      <w:pPr>
        <w:tabs>
          <w:tab w:val="right" w:pos="11160"/>
        </w:tabs>
        <w:ind w:right="-360"/>
        <w:jc w:val="both"/>
        <w:rPr>
          <w:rFonts w:ascii="Gulim" w:eastAsia="Gulim" w:hAnsi="Gulim"/>
          <w:sz w:val="16"/>
        </w:rPr>
      </w:pPr>
    </w:p>
    <w:p w:rsidR="00C77652" w:rsidRPr="00FE106C" w:rsidRDefault="00DE43B0" w:rsidP="00616258">
      <w:pPr>
        <w:pStyle w:val="Heading1"/>
        <w:tabs>
          <w:tab w:val="right" w:pos="11160"/>
        </w:tabs>
        <w:ind w:right="72"/>
        <w:rPr>
          <w:rFonts w:ascii="Gulim" w:eastAsia="Gulim" w:hAnsi="Gulim" w:cs="Arial"/>
          <w:szCs w:val="16"/>
        </w:rPr>
      </w:pPr>
      <w:r w:rsidRPr="00FE106C">
        <w:rPr>
          <w:rFonts w:ascii="Gulim" w:eastAsia="Gulim" w:hAnsi="Gulim" w:hint="eastAsia"/>
          <w:sz w:val="20"/>
          <w:lang w:eastAsia="ko-KR"/>
        </w:rPr>
        <w:t>계약서들</w:t>
      </w:r>
    </w:p>
    <w:p w:rsidR="00DE43B0" w:rsidRPr="00FE106C" w:rsidRDefault="00DE43B0" w:rsidP="00DE43B0">
      <w:pPr>
        <w:rPr>
          <w:rFonts w:ascii="Gulim" w:eastAsia="Gulim" w:hAnsi="Gulim"/>
          <w:sz w:val="20"/>
          <w:lang w:eastAsia="ko-KR"/>
        </w:rPr>
      </w:pPr>
      <w:r w:rsidRPr="00FE106C">
        <w:rPr>
          <w:rFonts w:ascii="Gulim" w:eastAsia="Gulim" w:hAnsi="Gulim" w:hint="eastAsia"/>
          <w:sz w:val="20"/>
          <w:u w:val="single"/>
          <w:lang w:eastAsia="ko-KR"/>
        </w:rPr>
        <w:t>주문서</w:t>
      </w:r>
      <w:r w:rsidRPr="00FE106C">
        <w:rPr>
          <w:rFonts w:ascii="Gulim" w:eastAsia="Gulim" w:hAnsi="Gulim" w:hint="eastAsia"/>
          <w:sz w:val="20"/>
          <w:lang w:eastAsia="ko-KR"/>
        </w:rPr>
        <w:t>. 고객이 공급업체로부터 취득하고자 하는 제품을 명시하고 있는 공급업체(오라클 및/또는 파트너)에 제공된 문서 및 그러한 제품의 사용 조건을 규정하는 공급업체가 제공한 관련 계약서들을 의미합니다.</w:t>
      </w:r>
    </w:p>
    <w:p w:rsidR="00DE43B0" w:rsidRPr="00FE106C" w:rsidRDefault="00DE43B0" w:rsidP="00DE43B0">
      <w:pPr>
        <w:rPr>
          <w:rFonts w:ascii="Gulim" w:eastAsia="Gulim" w:hAnsi="Gulim"/>
          <w:sz w:val="20"/>
          <w:lang w:eastAsia="ko-KR"/>
        </w:rPr>
      </w:pPr>
      <w:r w:rsidRPr="00FE106C">
        <w:rPr>
          <w:rFonts w:ascii="Gulim" w:eastAsia="Gulim" w:hAnsi="Gulim" w:hint="eastAsia"/>
          <w:sz w:val="20"/>
          <w:u w:val="single"/>
          <w:lang w:eastAsia="ko-KR"/>
        </w:rPr>
        <w:t>파트너 주문</w:t>
      </w:r>
      <w:r w:rsidRPr="00FE106C">
        <w:rPr>
          <w:rFonts w:ascii="Gulim" w:eastAsia="Gulim" w:hAnsi="Gulim" w:hint="eastAsia"/>
          <w:sz w:val="20"/>
          <w:lang w:eastAsia="ko-KR"/>
        </w:rPr>
        <w:t>. 오라클과의 관련 유통 계약에 따라 파트너가 오라클에 요청한 오라클 제품 및 서비스에 대한 주문을 의미합니다.</w:t>
      </w:r>
    </w:p>
    <w:p w:rsidR="00BC3C0D" w:rsidRPr="00FE106C" w:rsidRDefault="00DE43B0" w:rsidP="00DE43B0">
      <w:pPr>
        <w:tabs>
          <w:tab w:val="right" w:pos="11160"/>
        </w:tabs>
        <w:ind w:right="-360"/>
        <w:jc w:val="both"/>
        <w:rPr>
          <w:rFonts w:ascii="Gulim" w:eastAsia="Gulim" w:hAnsi="Gulim"/>
          <w:sz w:val="16"/>
        </w:rPr>
      </w:pPr>
      <w:r w:rsidRPr="00FE106C">
        <w:rPr>
          <w:rFonts w:ascii="Gulim" w:eastAsia="Gulim" w:hAnsi="Gulim" w:cs="Arial" w:hint="eastAsia"/>
          <w:sz w:val="20"/>
          <w:u w:val="single"/>
          <w:lang w:eastAsia="ko-KR"/>
        </w:rPr>
        <w:t>파이낸싱계약</w:t>
      </w:r>
      <w:r w:rsidRPr="00FE106C">
        <w:rPr>
          <w:rFonts w:ascii="Gulim" w:eastAsia="Gulim" w:hAnsi="Gulim" w:cs="Arial" w:hint="eastAsia"/>
          <w:sz w:val="20"/>
          <w:lang w:eastAsia="ko-KR"/>
        </w:rPr>
        <w:t>. 공급업체로부터 취득한 제품 대금의 지급을 위해 자금제공자가 제공한 대출, 파이낸싱 또는 임대 약정 또는 기타 계약(회전신용한도 포함)을 의미합니다.</w:t>
      </w:r>
    </w:p>
    <w:p w:rsidR="00BC3C0D" w:rsidRPr="00FE106C" w:rsidRDefault="00BC3C0D" w:rsidP="00616258">
      <w:pPr>
        <w:tabs>
          <w:tab w:val="right" w:pos="11160"/>
        </w:tabs>
        <w:ind w:right="-360"/>
        <w:jc w:val="both"/>
        <w:rPr>
          <w:rFonts w:ascii="Gulim" w:eastAsia="Gulim" w:hAnsi="Gulim"/>
          <w:sz w:val="16"/>
        </w:rPr>
      </w:pPr>
    </w:p>
    <w:p w:rsidR="007942B5" w:rsidRPr="00FE106C" w:rsidRDefault="00DE43B0" w:rsidP="00616258">
      <w:pPr>
        <w:pStyle w:val="Heading1"/>
        <w:tabs>
          <w:tab w:val="right" w:pos="11160"/>
        </w:tabs>
        <w:ind w:right="72"/>
        <w:rPr>
          <w:rFonts w:ascii="Gulim" w:eastAsia="Gulim" w:hAnsi="Gulim" w:cs="Arial"/>
          <w:szCs w:val="16"/>
        </w:rPr>
      </w:pPr>
      <w:r w:rsidRPr="00FE106C">
        <w:rPr>
          <w:rFonts w:ascii="Gulim" w:eastAsia="Gulim" w:hAnsi="Gulim" w:cs="Arial" w:hint="eastAsia"/>
          <w:sz w:val="20"/>
          <w:lang w:eastAsia="ko-KR"/>
        </w:rPr>
        <w:t>지급</w:t>
      </w:r>
    </w:p>
    <w:p w:rsidR="007942B5" w:rsidRPr="00FE106C" w:rsidRDefault="00DE43B0" w:rsidP="00616258">
      <w:pPr>
        <w:tabs>
          <w:tab w:val="right" w:pos="11160"/>
        </w:tabs>
        <w:ind w:right="72"/>
        <w:jc w:val="both"/>
        <w:rPr>
          <w:rFonts w:ascii="Gulim" w:eastAsia="Gulim" w:hAnsi="Gulim" w:cs="Arial"/>
          <w:sz w:val="16"/>
          <w:szCs w:val="16"/>
        </w:rPr>
      </w:pPr>
      <w:r w:rsidRPr="00FE106C">
        <w:rPr>
          <w:rFonts w:ascii="Gulim" w:eastAsia="Gulim" w:hAnsi="Gulim" w:hint="eastAsia"/>
          <w:sz w:val="20"/>
          <w:u w:val="single"/>
          <w:lang w:eastAsia="ko-KR"/>
        </w:rPr>
        <w:t>지급 의무</w:t>
      </w:r>
      <w:r w:rsidRPr="00FE106C">
        <w:rPr>
          <w:rFonts w:ascii="Gulim" w:eastAsia="Gulim" w:hAnsi="Gulim" w:hint="eastAsia"/>
          <w:sz w:val="20"/>
          <w:lang w:eastAsia="ko-KR"/>
        </w:rPr>
        <w:t>. 파이낸싱계약의 조건 또는 파이낸싱계약의 완료 여부를 불문하고 공급업체가 대금을 완제 받을 때까지 고객은 공급업체에 대한 지급 의무를 보유합니다.</w:t>
      </w:r>
      <w:r w:rsidRPr="00FE106C">
        <w:rPr>
          <w:rFonts w:ascii="Gulim" w:eastAsia="Gulim" w:hAnsi="Gulim"/>
          <w:sz w:val="20"/>
          <w:lang w:eastAsia="ko-KR"/>
        </w:rPr>
        <w:t xml:space="preserve"> </w:t>
      </w:r>
      <w:r w:rsidRPr="00FE106C">
        <w:rPr>
          <w:rFonts w:ascii="Gulim" w:eastAsia="Gulim" w:hAnsi="Gulim" w:hint="eastAsia"/>
          <w:sz w:val="20"/>
          <w:lang w:eastAsia="ko-KR"/>
        </w:rPr>
        <w:t xml:space="preserve"> 자금제공자가 공급업체에게 부담하는 대금을 모두 지급하지 않은 경우, 고객은 나머지 잔액을 지급해야 합니다. </w:t>
      </w:r>
      <w:r w:rsidRPr="00FE106C">
        <w:rPr>
          <w:rFonts w:ascii="Gulim" w:eastAsia="Gulim" w:hAnsi="Gulim" w:hint="eastAsia"/>
          <w:b/>
          <w:sz w:val="20"/>
          <w:lang w:eastAsia="ko-KR"/>
        </w:rPr>
        <w:t xml:space="preserve"> </w:t>
      </w:r>
      <w:r w:rsidRPr="00FE106C">
        <w:rPr>
          <w:rFonts w:ascii="Gulim" w:eastAsia="Gulim" w:hAnsi="Gulim" w:hint="eastAsia"/>
          <w:sz w:val="20"/>
          <w:lang w:eastAsia="ko-KR"/>
        </w:rPr>
        <w:t>파트너는 고객 또는 파트너의 파이낸싱이 완료되었는지 여부를 불문하고 기존 파트너 주문의 조건에 따른 모든 수수료를 지급할 의무를 보유합니다.</w:t>
      </w:r>
    </w:p>
    <w:p w:rsidR="007942B5" w:rsidRPr="00FE106C" w:rsidRDefault="007942B5" w:rsidP="00616258">
      <w:pPr>
        <w:tabs>
          <w:tab w:val="right" w:pos="11160"/>
        </w:tabs>
        <w:ind w:right="-360"/>
        <w:jc w:val="both"/>
        <w:rPr>
          <w:rFonts w:ascii="Gulim" w:eastAsia="Gulim" w:hAnsi="Gulim" w:cs="Arial"/>
          <w:sz w:val="16"/>
          <w:szCs w:val="16"/>
          <w:u w:val="single"/>
        </w:rPr>
      </w:pPr>
    </w:p>
    <w:p w:rsidR="00BC3C0D" w:rsidRPr="00FE106C" w:rsidRDefault="00DE43B0" w:rsidP="00616258">
      <w:pPr>
        <w:tabs>
          <w:tab w:val="right" w:pos="11160"/>
        </w:tabs>
        <w:ind w:right="-360"/>
        <w:jc w:val="both"/>
        <w:rPr>
          <w:rFonts w:ascii="Gulim" w:eastAsia="Gulim" w:hAnsi="Gulim"/>
          <w:sz w:val="16"/>
        </w:rPr>
      </w:pPr>
      <w:r w:rsidRPr="00FE106C">
        <w:rPr>
          <w:rFonts w:ascii="Gulim" w:eastAsia="Gulim" w:hAnsi="Gulim" w:hint="eastAsia"/>
          <w:sz w:val="20"/>
          <w:u w:val="single"/>
          <w:lang w:eastAsia="ko-KR"/>
        </w:rPr>
        <w:t>퓨처 서포트 대금</w:t>
      </w:r>
      <w:r w:rsidRPr="00FE106C">
        <w:rPr>
          <w:rFonts w:ascii="Gulim" w:eastAsia="Gulim" w:hAnsi="Gulim" w:hint="eastAsia"/>
          <w:sz w:val="20"/>
          <w:lang w:eastAsia="ko-KR"/>
        </w:rPr>
        <w:t>. 오라클의 사전 서면 동의 없이 파이낸싱계약은 오라클에 지급해야 하는 퓨처 서포트 수수료를 포함할 수 없습니다.</w:t>
      </w:r>
      <w:r w:rsidRPr="00FE106C">
        <w:rPr>
          <w:rFonts w:ascii="Gulim" w:eastAsia="Gulim" w:hAnsi="Gulim"/>
          <w:sz w:val="20"/>
          <w:lang w:eastAsia="ko-KR"/>
        </w:rPr>
        <w:t xml:space="preserve">  </w:t>
      </w:r>
      <w:r w:rsidRPr="00FE106C">
        <w:rPr>
          <w:rFonts w:ascii="Gulim" w:eastAsia="Gulim" w:hAnsi="Gulim" w:hint="eastAsia"/>
          <w:sz w:val="20"/>
          <w:lang w:eastAsia="ko-KR"/>
        </w:rPr>
        <w:t>자금제공자는 그러한 퓨처 서포트 대금에 대한 이권을 보유하지 않습니다.</w:t>
      </w:r>
      <w:r w:rsidRPr="00FE106C">
        <w:rPr>
          <w:rFonts w:ascii="Gulim" w:eastAsia="Gulim" w:hAnsi="Gulim"/>
          <w:sz w:val="20"/>
          <w:lang w:eastAsia="ko-KR"/>
        </w:rPr>
        <w:t xml:space="preserve"> </w:t>
      </w:r>
      <w:r w:rsidRPr="00FE106C">
        <w:rPr>
          <w:rFonts w:ascii="Gulim" w:eastAsia="Gulim" w:hAnsi="Gulim" w:hint="eastAsia"/>
          <w:sz w:val="20"/>
          <w:lang w:eastAsia="ko-KR"/>
        </w:rPr>
        <w:t xml:space="preserve"> 자금제공자는 그러한 대금을 지급 받는 경우, 즉시 모든 대금을 오라클에 송금합니다.</w:t>
      </w:r>
    </w:p>
    <w:p w:rsidR="00BC3C0D" w:rsidRPr="00FE106C" w:rsidRDefault="00BC3C0D" w:rsidP="00616258">
      <w:pPr>
        <w:tabs>
          <w:tab w:val="right" w:pos="11160"/>
        </w:tabs>
        <w:ind w:right="-360"/>
        <w:jc w:val="both"/>
        <w:rPr>
          <w:rFonts w:ascii="Gulim" w:eastAsia="Gulim" w:hAnsi="Gulim"/>
          <w:sz w:val="16"/>
        </w:rPr>
      </w:pPr>
    </w:p>
    <w:p w:rsidR="007942B5" w:rsidRPr="00FE106C" w:rsidRDefault="00DE43B0" w:rsidP="00616258">
      <w:pPr>
        <w:pStyle w:val="Heading1"/>
        <w:tabs>
          <w:tab w:val="right" w:pos="11160"/>
        </w:tabs>
        <w:ind w:right="72"/>
        <w:rPr>
          <w:rFonts w:ascii="Gulim" w:eastAsia="Gulim" w:hAnsi="Gulim" w:cs="Arial"/>
          <w:szCs w:val="16"/>
        </w:rPr>
      </w:pPr>
      <w:r w:rsidRPr="00FE106C">
        <w:rPr>
          <w:rFonts w:ascii="Gulim" w:eastAsia="Gulim" w:hAnsi="Gulim" w:hint="eastAsia"/>
          <w:sz w:val="20"/>
          <w:lang w:eastAsia="ko-KR"/>
        </w:rPr>
        <w:t>권리 및 관계</w:t>
      </w:r>
    </w:p>
    <w:p w:rsidR="00BC3C0D" w:rsidRPr="00FE106C" w:rsidRDefault="00FE106C" w:rsidP="00616258">
      <w:pPr>
        <w:pStyle w:val="BodyText"/>
        <w:tabs>
          <w:tab w:val="right" w:pos="11160"/>
        </w:tabs>
        <w:ind w:right="-360"/>
        <w:rPr>
          <w:rFonts w:ascii="Gulim" w:eastAsia="Gulim" w:hAnsi="Gulim"/>
          <w:sz w:val="16"/>
        </w:rPr>
      </w:pPr>
      <w:r w:rsidRPr="00FE106C">
        <w:rPr>
          <w:rFonts w:ascii="Gulim" w:eastAsia="Gulim" w:hAnsi="Gulim" w:hint="eastAsia"/>
          <w:u w:val="single"/>
          <w:lang w:eastAsia="ko-KR"/>
        </w:rPr>
        <w:t>동의 없는 권리 양도 불가</w:t>
      </w:r>
      <w:r w:rsidRPr="00FE106C">
        <w:rPr>
          <w:rFonts w:ascii="Gulim" w:eastAsia="Gulim" w:hAnsi="Gulim" w:hint="eastAsia"/>
          <w:lang w:eastAsia="ko-KR"/>
        </w:rPr>
        <w:t>. 파트너(또는 파트너의 유통업체), 자금제공자 또는 고객 간 합의한 조건을 불문하고, 파이낸싱계약은 오라클의 서면 동의 없이 자금제공자에게 오라클의 지적재산권, 라이선스 받은 소프트웨어, 서비스 또는 운영체제 및 하드웨어 제품의 일부인 통합 소프트웨어(예: 펌웨어)에 대한 어떠한 이권 또는 권리도 부여하지 않습니다.  권리 양도 시 오라클의 동의가 필요하며, 오라클이 제공한 별도 양식에 따라야 합니다.</w:t>
      </w:r>
      <w:r w:rsidRPr="00FE106C">
        <w:rPr>
          <w:rFonts w:ascii="Gulim" w:eastAsia="Gulim" w:hAnsi="Gulim"/>
          <w:lang w:eastAsia="ko-KR"/>
        </w:rPr>
        <w:t xml:space="preserve"> </w:t>
      </w:r>
      <w:r w:rsidRPr="00FE106C">
        <w:rPr>
          <w:rFonts w:ascii="Gulim" w:eastAsia="Gulim" w:hAnsi="Gulim" w:hint="eastAsia"/>
          <w:lang w:eastAsia="ko-KR"/>
        </w:rPr>
        <w:t xml:space="preserve"> 파이낸싱계약이 임대에 관한 것인 경우, 자금제공자가 여하한 소프트웨어(운영체제 및 하드웨어의 일부인 통합 소프트웨어를 포함함)를 임대하기 위해서는 오라클의 동의가 필요합니다.</w:t>
      </w:r>
      <w:r w:rsidRPr="00FE106C">
        <w:rPr>
          <w:rFonts w:ascii="Gulim" w:eastAsia="Gulim" w:hAnsi="Gulim"/>
          <w:lang w:eastAsia="ko-KR"/>
        </w:rPr>
        <w:t xml:space="preserve"> </w:t>
      </w:r>
      <w:r w:rsidRPr="00FE106C">
        <w:rPr>
          <w:rFonts w:ascii="Gulim" w:eastAsia="Gulim" w:hAnsi="Gulim" w:hint="eastAsia"/>
          <w:b/>
          <w:lang w:eastAsia="ko-KR"/>
        </w:rPr>
        <w:t xml:space="preserve"> </w:t>
      </w:r>
      <w:r w:rsidRPr="00FE106C">
        <w:rPr>
          <w:rFonts w:ascii="Gulim" w:eastAsia="Gulim" w:hAnsi="Gulim" w:hint="eastAsia"/>
          <w:lang w:eastAsia="ko-KR"/>
        </w:rPr>
        <w:t>오라클의 동의가 없는 경우, 파트너(또는 파트너의 유통업체)는 양도에 동의할 수 없습니다.</w:t>
      </w:r>
      <w:r w:rsidRPr="00FE106C">
        <w:rPr>
          <w:rFonts w:ascii="Gulim" w:eastAsia="Gulim" w:hAnsi="Gulim"/>
          <w:lang w:eastAsia="ko-KR"/>
        </w:rPr>
        <w:t xml:space="preserve"> </w:t>
      </w:r>
      <w:r w:rsidRPr="00FE106C">
        <w:rPr>
          <w:rFonts w:ascii="Gulim" w:eastAsia="Gulim" w:hAnsi="Gulim" w:hint="eastAsia"/>
          <w:lang w:eastAsia="ko-KR"/>
        </w:rPr>
        <w:t xml:space="preserve"> 양식은 아래 주소를 참고하여 주시기 바랍니다</w:t>
      </w:r>
      <w:r w:rsidRPr="00FE106C">
        <w:rPr>
          <w:rFonts w:ascii="Gulim" w:eastAsia="Gulim" w:hAnsi="Gulim" w:cs="Arial"/>
          <w:lang w:eastAsia="ko-KR"/>
        </w:rPr>
        <w:t xml:space="preserve">: </w:t>
      </w:r>
      <w:hyperlink r:id="rId6" w:history="1">
        <w:r w:rsidRPr="00FE106C">
          <w:rPr>
            <w:rStyle w:val="Hyperlink"/>
            <w:rFonts w:ascii="Gulim" w:eastAsia="Gulim" w:hAnsi="Gulim" w:cs="Arial"/>
            <w:lang w:eastAsia="ko-KR"/>
          </w:rPr>
          <w:t>http://www.oracle.com/</w:t>
        </w:r>
        <w:r w:rsidRPr="00FE106C">
          <w:rPr>
            <w:rStyle w:val="Hyperlink"/>
            <w:rFonts w:ascii="Gulim" w:eastAsia="Gulim" w:hAnsi="Gulim"/>
          </w:rPr>
          <w:t>contracts</w:t>
        </w:r>
      </w:hyperlink>
      <w:r w:rsidRPr="00FE106C">
        <w:rPr>
          <w:rFonts w:ascii="Gulim" w:eastAsia="Gulim" w:hAnsi="Gulim" w:cs="Arial"/>
          <w:lang w:eastAsia="ko-KR"/>
        </w:rPr>
        <w:t>.</w:t>
      </w:r>
      <w:r w:rsidRPr="00FE106C">
        <w:rPr>
          <w:rFonts w:ascii="Gulim" w:eastAsia="Gulim" w:hAnsi="Gulim"/>
          <w:lang w:eastAsia="ko-KR"/>
        </w:rPr>
        <w:t xml:space="preserve">  </w:t>
      </w:r>
      <w:r w:rsidRPr="00FE106C">
        <w:rPr>
          <w:rFonts w:ascii="Gulim" w:eastAsia="Gulim" w:hAnsi="Gulim" w:hint="eastAsia"/>
          <w:lang w:eastAsia="ko-KR"/>
        </w:rPr>
        <w:t>자금제공자는 오라클이 작성하는 경우 상기 동의서 양식에 따른 권리만을 보유합니다.</w:t>
      </w:r>
      <w:r w:rsidRPr="00FE106C">
        <w:rPr>
          <w:rFonts w:ascii="Gulim" w:eastAsia="Gulim" w:hAnsi="Gulim"/>
          <w:lang w:eastAsia="ko-KR"/>
        </w:rPr>
        <w:t xml:space="preserve"> </w:t>
      </w:r>
      <w:r w:rsidRPr="00FE106C">
        <w:rPr>
          <w:rFonts w:ascii="Gulim" w:eastAsia="Gulim" w:hAnsi="Gulim" w:cs="Arial" w:hint="eastAsia"/>
          <w:b/>
          <w:lang w:eastAsia="ko-KR"/>
        </w:rPr>
        <w:t xml:space="preserve"> </w:t>
      </w:r>
      <w:r w:rsidRPr="00FE106C">
        <w:rPr>
          <w:rFonts w:ascii="Gulim" w:eastAsia="Gulim" w:hAnsi="Gulim" w:cs="Arial" w:hint="eastAsia"/>
          <w:lang w:eastAsia="ko-KR"/>
        </w:rPr>
        <w:t>자금제공자에게 부여된 모든 권리는 본 통지 및 주문서의 조건(여하한 라이선스 및 수출 준수규정을 포함함)에 따릅니다.</w:t>
      </w:r>
    </w:p>
    <w:p w:rsidR="00BC3C0D" w:rsidRPr="00FE106C" w:rsidRDefault="00BC3C0D" w:rsidP="00616258">
      <w:pPr>
        <w:pStyle w:val="BodyText"/>
        <w:tabs>
          <w:tab w:val="right" w:pos="11160"/>
        </w:tabs>
        <w:ind w:right="-360"/>
        <w:rPr>
          <w:rFonts w:ascii="Gulim" w:eastAsia="Gulim" w:hAnsi="Gulim"/>
          <w:sz w:val="16"/>
        </w:rPr>
      </w:pPr>
    </w:p>
    <w:p w:rsidR="007942B5" w:rsidRPr="00FE106C" w:rsidRDefault="00FE106C" w:rsidP="00616258">
      <w:pPr>
        <w:pStyle w:val="BodyText"/>
        <w:tabs>
          <w:tab w:val="right" w:pos="11160"/>
        </w:tabs>
        <w:ind w:right="72"/>
        <w:rPr>
          <w:rFonts w:ascii="Gulim" w:eastAsia="Gulim" w:hAnsi="Gulim" w:cs="Arial"/>
          <w:sz w:val="16"/>
          <w:szCs w:val="16"/>
        </w:rPr>
      </w:pPr>
      <w:r w:rsidRPr="00FE106C">
        <w:rPr>
          <w:rFonts w:ascii="Gulim" w:eastAsia="Gulim" w:hAnsi="Gulim" w:cs="Arial" w:hint="eastAsia"/>
          <w:lang w:eastAsia="ko-KR"/>
        </w:rPr>
        <w:t>(i) 파트너(또는 그 유통업체) 또는 고객이 자신의 라이선스 권리에 부여한 담보권 또는 질권, (ii) 자금제공자가 공급업체에 대해 부담하는 수수료를 지급함으로써 취득한 것을 포함하여 자금제공자에게 양도된 모든 권리는  다음을 포함하지 않습니다:</w:t>
      </w:r>
      <w:r w:rsidR="007942B5" w:rsidRPr="00FE106C">
        <w:rPr>
          <w:rFonts w:ascii="Gulim" w:eastAsia="Gulim" w:hAnsi="Gulim" w:cs="Arial"/>
          <w:sz w:val="16"/>
          <w:szCs w:val="16"/>
        </w:rPr>
        <w:t xml:space="preserve">  </w:t>
      </w:r>
    </w:p>
    <w:p w:rsidR="00966B5B" w:rsidRPr="00FE106C" w:rsidRDefault="007942B5">
      <w:pPr>
        <w:pStyle w:val="BodyText"/>
        <w:tabs>
          <w:tab w:val="right" w:pos="11160"/>
        </w:tabs>
        <w:ind w:left="540" w:right="72" w:hanging="270"/>
        <w:rPr>
          <w:rFonts w:ascii="Gulim" w:eastAsia="Gulim" w:hAnsi="Gulim" w:cs="Arial"/>
          <w:sz w:val="16"/>
          <w:szCs w:val="16"/>
        </w:rPr>
      </w:pPr>
      <w:r w:rsidRPr="00FE106C">
        <w:rPr>
          <w:rFonts w:ascii="Gulim" w:eastAsia="Gulim" w:hAnsi="Gulim" w:cs="Arial"/>
          <w:sz w:val="16"/>
          <w:szCs w:val="16"/>
        </w:rPr>
        <w:t xml:space="preserve">(a) </w:t>
      </w:r>
      <w:r w:rsidR="00FE106C" w:rsidRPr="00FE106C">
        <w:rPr>
          <w:rFonts w:ascii="Gulim" w:eastAsia="Gulim" w:hAnsi="Gulim" w:hint="eastAsia"/>
          <w:lang w:eastAsia="ko-KR"/>
        </w:rPr>
        <w:t>라이선스 받은 소프트웨어 또는 운영 체제 소프트웨어 및 하드웨어의 일부인 통합 소프트웨어(예: 펌웨어)에 포함된 지적재산에 대한여타의 권원, 소유권, 서브라이선스, 또는담보권의 양도</w:t>
      </w:r>
      <w:r w:rsidR="00FE106C" w:rsidRPr="00FE106C">
        <w:rPr>
          <w:rFonts w:ascii="Gulim" w:eastAsia="Gulim" w:hAnsi="Gulim"/>
          <w:lang w:eastAsia="ko-KR"/>
        </w:rPr>
        <w:t>,</w:t>
      </w:r>
    </w:p>
    <w:p w:rsidR="00966B5B" w:rsidRPr="00FE106C" w:rsidRDefault="007942B5">
      <w:pPr>
        <w:pStyle w:val="BodyText"/>
        <w:tabs>
          <w:tab w:val="right" w:pos="11160"/>
        </w:tabs>
        <w:ind w:left="540" w:right="72" w:hanging="270"/>
        <w:rPr>
          <w:rFonts w:ascii="Gulim" w:eastAsia="Gulim" w:hAnsi="Gulim" w:cs="Arial"/>
          <w:sz w:val="16"/>
          <w:szCs w:val="16"/>
        </w:rPr>
      </w:pPr>
      <w:r w:rsidRPr="00FE106C">
        <w:rPr>
          <w:rFonts w:ascii="Gulim" w:eastAsia="Gulim" w:hAnsi="Gulim" w:cs="Arial"/>
          <w:sz w:val="16"/>
          <w:szCs w:val="16"/>
        </w:rPr>
        <w:lastRenderedPageBreak/>
        <w:t xml:space="preserve">(b) </w:t>
      </w:r>
      <w:r w:rsidR="00FE106C" w:rsidRPr="00FE106C">
        <w:rPr>
          <w:rFonts w:ascii="Gulim" w:eastAsia="Gulim" w:hAnsi="Gulim" w:hint="eastAsia"/>
          <w:lang w:eastAsia="ko-KR"/>
        </w:rPr>
        <w:t>라이선스, 운영체제 또는 하드웨어의 일부인 통합 소프트웨어(예: 펌웨어)를 사용, 복제, 양도, 재라이선스 또는 재판매할 수 있는 권리 또는 여하한 목적(손해의 경감을 포함함)을 위해 서비스를 제공받거나 전용할 수 있는 권리를 자금제공자(또는 여하한 기타 당사자)에게 부여하기</w:t>
      </w:r>
      <w:r w:rsidRPr="00FE106C">
        <w:rPr>
          <w:rFonts w:ascii="Gulim" w:eastAsia="Gulim" w:hAnsi="Gulim" w:cs="Arial"/>
          <w:sz w:val="16"/>
          <w:szCs w:val="16"/>
        </w:rPr>
        <w:t xml:space="preserve">  </w:t>
      </w:r>
    </w:p>
    <w:p w:rsidR="009258B6" w:rsidRPr="00FE106C" w:rsidRDefault="007942B5" w:rsidP="009258B6">
      <w:pPr>
        <w:pStyle w:val="BodyText"/>
        <w:tabs>
          <w:tab w:val="right" w:pos="11160"/>
        </w:tabs>
        <w:ind w:left="540" w:right="72" w:hanging="270"/>
        <w:rPr>
          <w:rFonts w:ascii="Gulim" w:eastAsia="Gulim" w:hAnsi="Gulim" w:cs="Arial"/>
          <w:sz w:val="16"/>
          <w:szCs w:val="16"/>
        </w:rPr>
      </w:pPr>
      <w:r w:rsidRPr="00FE106C">
        <w:rPr>
          <w:rFonts w:ascii="Gulim" w:eastAsia="Gulim" w:hAnsi="Gulim" w:cs="Arial"/>
          <w:sz w:val="16"/>
          <w:szCs w:val="16"/>
        </w:rPr>
        <w:t xml:space="preserve">(c) </w:t>
      </w:r>
      <w:r w:rsidR="00B6646A" w:rsidRPr="00FE106C">
        <w:rPr>
          <w:rFonts w:ascii="Gulim" w:eastAsia="Gulim" w:hAnsi="Gulim" w:cs="Arial"/>
          <w:sz w:val="16"/>
          <w:szCs w:val="16"/>
        </w:rPr>
        <w:t xml:space="preserve"> </w:t>
      </w:r>
      <w:r w:rsidR="00FE106C" w:rsidRPr="00FE106C">
        <w:rPr>
          <w:rFonts w:ascii="Gulim" w:eastAsia="Gulim" w:hAnsi="Gulim" w:hint="eastAsia"/>
          <w:lang w:eastAsia="ko-KR"/>
        </w:rPr>
        <w:t>파이낸싱계약에 따른 것이 아닌 제품 또는 서비스(또는 그로부터 발생하는 수수료)에 대한 이권(예컨대, 자문료). 자금제공자가 그러한 대금을 징수 또는 수령하는 경우, 자금제공자는 즉시 모든 대금을 오라클에 송금합니다.</w:t>
      </w:r>
    </w:p>
    <w:p w:rsidR="00BC3C0D" w:rsidRPr="00FE106C" w:rsidRDefault="00BC3C0D" w:rsidP="00616258">
      <w:pPr>
        <w:tabs>
          <w:tab w:val="right" w:pos="11160"/>
        </w:tabs>
        <w:ind w:left="634" w:right="-360" w:hanging="274"/>
        <w:jc w:val="both"/>
        <w:rPr>
          <w:rFonts w:ascii="Gulim" w:eastAsia="Gulim" w:hAnsi="Gulim"/>
          <w:sz w:val="16"/>
        </w:rPr>
      </w:pPr>
    </w:p>
    <w:p w:rsidR="00BC3C0D" w:rsidRPr="00FE106C" w:rsidRDefault="00FE106C" w:rsidP="00616258">
      <w:pPr>
        <w:pStyle w:val="BodyText2"/>
        <w:tabs>
          <w:tab w:val="right" w:pos="11160"/>
        </w:tabs>
        <w:ind w:right="-360"/>
        <w:rPr>
          <w:rFonts w:ascii="Gulim" w:eastAsia="Gulim" w:hAnsi="Gulim"/>
        </w:rPr>
      </w:pPr>
      <w:r w:rsidRPr="00FE106C">
        <w:rPr>
          <w:rFonts w:ascii="Gulim" w:eastAsia="Gulim" w:hAnsi="Gulim" w:hint="eastAsia"/>
          <w:sz w:val="20"/>
          <w:u w:val="single"/>
          <w:lang w:eastAsia="ko-KR"/>
        </w:rPr>
        <w:t>개별계약들</w:t>
      </w:r>
      <w:r w:rsidRPr="00FE106C">
        <w:rPr>
          <w:rFonts w:ascii="Gulim" w:eastAsia="Gulim" w:hAnsi="Gulim" w:hint="eastAsia"/>
          <w:sz w:val="20"/>
          <w:lang w:eastAsia="ko-KR"/>
        </w:rPr>
        <w:t>. 주문서, 파트너 주문 및 파이낸싱계약은 별도 계약이며, 여타 계약 조건 또는 당사자들에 영향을 미치니 않는 별도의 계약 관계를 구성합니다.</w:t>
      </w:r>
      <w:r w:rsidRPr="00FE106C">
        <w:rPr>
          <w:rFonts w:ascii="Gulim" w:eastAsia="Gulim" w:hAnsi="Gulim"/>
          <w:sz w:val="20"/>
          <w:lang w:eastAsia="ko-KR"/>
        </w:rPr>
        <w:t xml:space="preserve">  </w:t>
      </w:r>
      <w:r w:rsidRPr="00FE106C">
        <w:rPr>
          <w:rFonts w:ascii="Gulim" w:eastAsia="Gulim" w:hAnsi="Gulim" w:hint="eastAsia"/>
          <w:sz w:val="20"/>
          <w:lang w:eastAsia="ko-KR"/>
        </w:rPr>
        <w:t>오라클은 여하한 당사자에 대하여 주문서(그리고 해당하는 경우 파트너 주문을 포함함)에 따른 의무 이상의 어떠한 의무(분쟁, 해지 위험 또는 이유를 불문한 고객의 여하한 지급 불이행과 관련된 의무를 포함함)도 지지 않습니다.</w:t>
      </w:r>
      <w:r w:rsidR="00BC3C0D" w:rsidRPr="00FE106C">
        <w:rPr>
          <w:rFonts w:ascii="Gulim" w:eastAsia="Gulim" w:hAnsi="Gulim"/>
        </w:rPr>
        <w:t xml:space="preserve"> </w:t>
      </w:r>
    </w:p>
    <w:p w:rsidR="00BC3C0D" w:rsidRPr="00FE106C" w:rsidRDefault="00BC3C0D" w:rsidP="00616258">
      <w:pPr>
        <w:pStyle w:val="BodyText2"/>
        <w:tabs>
          <w:tab w:val="right" w:pos="11160"/>
        </w:tabs>
        <w:ind w:right="-360"/>
        <w:rPr>
          <w:rFonts w:ascii="Gulim" w:eastAsia="Gulim" w:hAnsi="Gulim"/>
        </w:rPr>
      </w:pPr>
    </w:p>
    <w:p w:rsidR="00BC3C0D" w:rsidRPr="00FE106C" w:rsidRDefault="00FE106C" w:rsidP="00616258">
      <w:pPr>
        <w:pStyle w:val="BodyText2"/>
        <w:tabs>
          <w:tab w:val="right" w:pos="11160"/>
        </w:tabs>
        <w:ind w:right="-360"/>
        <w:rPr>
          <w:rFonts w:ascii="Gulim" w:eastAsia="Gulim" w:hAnsi="Gulim"/>
        </w:rPr>
      </w:pPr>
      <w:r w:rsidRPr="00FE106C">
        <w:rPr>
          <w:rFonts w:ascii="Gulim" w:eastAsia="Gulim" w:hAnsi="Gulim" w:hint="eastAsia"/>
          <w:sz w:val="20"/>
          <w:lang w:eastAsia="ko-KR"/>
        </w:rPr>
        <w:t xml:space="preserve">어떠한 계약도 그러한 계약을 체결하지 않은 당사자에 대하여 의무, 제한, 책임 또는 이익을 발생시키지 않습니다. </w:t>
      </w:r>
      <w:r w:rsidRPr="00FE106C">
        <w:rPr>
          <w:rFonts w:ascii="Gulim" w:eastAsia="Gulim" w:hAnsi="Gulim" w:hint="eastAsia"/>
          <w:b/>
          <w:sz w:val="20"/>
          <w:lang w:eastAsia="ko-KR"/>
        </w:rPr>
        <w:t xml:space="preserve"> </w:t>
      </w:r>
      <w:r w:rsidRPr="00FE106C">
        <w:rPr>
          <w:rFonts w:ascii="Gulim" w:eastAsia="Gulim" w:hAnsi="Gulim" w:hint="eastAsia"/>
          <w:sz w:val="20"/>
          <w:lang w:eastAsia="ko-KR"/>
        </w:rPr>
        <w:t>여하한 계약 상 연체 또는 취소가 발생하는 경우, 각 당사자는 독립적으로 자신의 구제책을 행사하고 계약에 따른 의무를 이행할 권리가 있습니다.</w:t>
      </w:r>
      <w:r w:rsidRPr="00FE106C">
        <w:rPr>
          <w:rFonts w:ascii="Gulim" w:eastAsia="Gulim" w:hAnsi="Gulim"/>
          <w:sz w:val="20"/>
          <w:lang w:eastAsia="ko-KR"/>
        </w:rPr>
        <w:t xml:space="preserve"> </w:t>
      </w:r>
      <w:r w:rsidRPr="00FE106C">
        <w:rPr>
          <w:rFonts w:ascii="Gulim" w:eastAsia="Gulim" w:hAnsi="Gulim" w:hint="eastAsia"/>
          <w:sz w:val="20"/>
          <w:lang w:eastAsia="ko-KR"/>
        </w:rPr>
        <w:t xml:space="preserve"> 오라클은 자금제공자의 구제책 행사에 대하여 자금제공자를 지원해야 하는 의무가 없습니다.</w:t>
      </w:r>
      <w:r w:rsidRPr="00FE106C">
        <w:rPr>
          <w:rFonts w:ascii="Gulim" w:eastAsia="Gulim" w:hAnsi="Gulim"/>
          <w:sz w:val="20"/>
          <w:lang w:eastAsia="ko-KR"/>
        </w:rPr>
        <w:t xml:space="preserve"> </w:t>
      </w:r>
      <w:r w:rsidRPr="00FE106C">
        <w:rPr>
          <w:rFonts w:ascii="Gulim" w:eastAsia="Gulim" w:hAnsi="Gulim" w:hint="eastAsia"/>
          <w:b/>
          <w:sz w:val="20"/>
          <w:lang w:eastAsia="ko-KR"/>
        </w:rPr>
        <w:t xml:space="preserve"> </w:t>
      </w:r>
      <w:r w:rsidRPr="00FE106C">
        <w:rPr>
          <w:rFonts w:ascii="Gulim" w:eastAsia="Gulim" w:hAnsi="Gulim" w:hint="eastAsia"/>
          <w:sz w:val="20"/>
          <w:lang w:eastAsia="ko-KR"/>
        </w:rPr>
        <w:t>자금제공자는 공급 거래의 당사자가 아니며, 오라클에 지급해야 하는 오라클 제품 및 서비스의 유통으로부터 발생한 수수료에 대한 어떠한 권리도 획득하지 않습니다.</w:t>
      </w:r>
      <w:r w:rsidRPr="00FE106C">
        <w:rPr>
          <w:rFonts w:ascii="Gulim" w:eastAsia="Gulim" w:hAnsi="Gulim"/>
          <w:sz w:val="20"/>
          <w:lang w:eastAsia="ko-KR"/>
        </w:rPr>
        <w:t xml:space="preserve"> </w:t>
      </w:r>
      <w:r w:rsidRPr="00FE106C">
        <w:rPr>
          <w:rFonts w:ascii="Gulim" w:eastAsia="Gulim" w:hAnsi="Gulim" w:hint="eastAsia"/>
          <w:sz w:val="20"/>
          <w:lang w:eastAsia="ko-KR"/>
        </w:rPr>
        <w:t xml:space="preserve"> 지적재산권의 보유자인 오라클은 파트너 및 고객 간 여하한 주문에 대한 제3수익자이나, 그러한 주문에 따른 여하한 파트너의 의무도 부담하지 않습니다.</w:t>
      </w:r>
      <w:r w:rsidRPr="00FE106C">
        <w:rPr>
          <w:rFonts w:ascii="Gulim" w:eastAsia="Gulim" w:hAnsi="Gulim"/>
          <w:sz w:val="20"/>
          <w:lang w:eastAsia="ko-KR"/>
        </w:rPr>
        <w:t xml:space="preserve"> </w:t>
      </w:r>
      <w:r w:rsidRPr="00FE106C">
        <w:rPr>
          <w:rFonts w:ascii="Gulim" w:eastAsia="Gulim" w:hAnsi="Gulim" w:hint="eastAsia"/>
          <w:sz w:val="20"/>
          <w:lang w:eastAsia="ko-KR"/>
        </w:rPr>
        <w:t xml:space="preserve"> 임대 또는 라이선스 양도에 대한 자금제공자의 동의와 같이 이와 관련된 어떠한 문서도 오라클을 구속하거나 오라클의 의무를 발생시키지 않습니다.</w:t>
      </w:r>
      <w:r w:rsidRPr="00FE106C">
        <w:rPr>
          <w:rFonts w:ascii="Gulim" w:eastAsia="Gulim" w:hAnsi="Gulim"/>
          <w:sz w:val="20"/>
          <w:lang w:eastAsia="ko-KR"/>
        </w:rPr>
        <w:t xml:space="preserve"> </w:t>
      </w:r>
      <w:r w:rsidRPr="00FE106C">
        <w:rPr>
          <w:rFonts w:ascii="Gulim" w:eastAsia="Gulim" w:hAnsi="Gulim" w:hint="eastAsia"/>
          <w:sz w:val="20"/>
          <w:lang w:eastAsia="ko-KR"/>
        </w:rPr>
        <w:t xml:space="preserve"> 오라클은 여하한 파이낸싱계약을 검토할 의무가 없으며, 거래의 성격에 대해 자문을 제공하지 않습니다.</w:t>
      </w:r>
    </w:p>
    <w:p w:rsidR="00BC3C0D" w:rsidRPr="00FE106C" w:rsidRDefault="00BC3C0D" w:rsidP="00616258">
      <w:pPr>
        <w:pStyle w:val="BodyText2"/>
        <w:tabs>
          <w:tab w:val="right" w:pos="11160"/>
        </w:tabs>
        <w:ind w:right="-360"/>
        <w:rPr>
          <w:rFonts w:ascii="Gulim" w:eastAsia="Gulim" w:hAnsi="Gulim"/>
        </w:rPr>
      </w:pPr>
    </w:p>
    <w:p w:rsidR="007942B5" w:rsidRPr="00FE106C" w:rsidRDefault="00DE43B0" w:rsidP="00616258">
      <w:pPr>
        <w:pStyle w:val="BodyText2"/>
        <w:tabs>
          <w:tab w:val="right" w:pos="11160"/>
        </w:tabs>
        <w:ind w:right="72"/>
        <w:rPr>
          <w:rFonts w:ascii="Gulim" w:eastAsia="Gulim" w:hAnsi="Gulim" w:cs="Arial"/>
          <w:b/>
          <w:bCs/>
          <w:szCs w:val="16"/>
        </w:rPr>
      </w:pPr>
      <w:r w:rsidRPr="00FE106C">
        <w:rPr>
          <w:rFonts w:ascii="Gulim" w:eastAsia="Gulim" w:hAnsi="Gulim" w:hint="eastAsia"/>
          <w:b/>
          <w:sz w:val="20"/>
          <w:lang w:eastAsia="ko-KR"/>
        </w:rPr>
        <w:t>확인</w:t>
      </w:r>
    </w:p>
    <w:p w:rsidR="00BC3C0D" w:rsidRPr="00FE106C" w:rsidRDefault="00FE106C" w:rsidP="00616258">
      <w:pPr>
        <w:pStyle w:val="BodyText2"/>
        <w:tabs>
          <w:tab w:val="right" w:pos="11160"/>
        </w:tabs>
        <w:ind w:right="-360"/>
        <w:rPr>
          <w:rFonts w:ascii="Gulim" w:eastAsia="Gulim" w:hAnsi="Gulim"/>
        </w:rPr>
      </w:pPr>
      <w:r w:rsidRPr="00FE106C">
        <w:rPr>
          <w:rFonts w:ascii="Gulim" w:eastAsia="Gulim" w:hAnsi="Gulim" w:hint="eastAsia"/>
          <w:sz w:val="20"/>
          <w:lang w:eastAsia="ko-KR"/>
        </w:rPr>
        <w:t xml:space="preserve">공급업체에 대한 대금 지급이 파이낸싱 또는 임대 조건에 따를 경우, 파이낸싱계약의 당사자들은 </w:t>
      </w:r>
      <w:hyperlink r:id="rId7" w:history="1">
        <w:r w:rsidRPr="00FE106C">
          <w:rPr>
            <w:rStyle w:val="Hyperlink"/>
            <w:rFonts w:ascii="Gulim" w:eastAsia="Gulim" w:hAnsi="Gulim" w:cs="Arial"/>
            <w:sz w:val="20"/>
            <w:lang w:eastAsia="ko-KR"/>
          </w:rPr>
          <w:t>http://www.oracle.com/contracts</w:t>
        </w:r>
      </w:hyperlink>
      <w:r w:rsidRPr="00FE106C">
        <w:rPr>
          <w:rFonts w:ascii="Gulim" w:eastAsia="Gulim" w:hAnsi="Gulim" w:cs="Arial"/>
          <w:sz w:val="20"/>
          <w:lang w:eastAsia="ko-KR"/>
        </w:rPr>
        <w:t xml:space="preserve"> </w:t>
      </w:r>
      <w:r w:rsidRPr="00FE106C">
        <w:rPr>
          <w:rFonts w:ascii="Gulim" w:eastAsia="Gulim" w:hAnsi="Gulim" w:hint="eastAsia"/>
          <w:sz w:val="20"/>
          <w:lang w:eastAsia="ko-KR"/>
        </w:rPr>
        <w:t>에 명시된 양식에 따라 오라클에 확인서를 제공하며, 그러한 확인서를 고객의 담당자에게 전달해야 합니다.</w:t>
      </w:r>
      <w:r w:rsidRPr="00FE106C">
        <w:rPr>
          <w:rFonts w:ascii="Gulim" w:eastAsia="Gulim" w:hAnsi="Gulim"/>
          <w:sz w:val="20"/>
          <w:lang w:eastAsia="ko-KR"/>
        </w:rPr>
        <w:t xml:space="preserve"> </w:t>
      </w:r>
      <w:r w:rsidRPr="00FE106C">
        <w:rPr>
          <w:rFonts w:ascii="Gulim" w:eastAsia="Gulim" w:hAnsi="Gulim" w:hint="eastAsia"/>
          <w:sz w:val="20"/>
          <w:lang w:eastAsia="ko-KR"/>
        </w:rPr>
        <w:t xml:space="preserve"> 파트너는 본 통지의 사본을 파이낸싱계약의 당사자들에게 전달해야 합니다.</w:t>
      </w:r>
    </w:p>
    <w:p w:rsidR="00BC3C0D" w:rsidRPr="00FE106C" w:rsidRDefault="00BC3C0D" w:rsidP="00616258">
      <w:pPr>
        <w:pStyle w:val="BodyText2"/>
        <w:tabs>
          <w:tab w:val="right" w:pos="11160"/>
        </w:tabs>
        <w:ind w:right="-360"/>
        <w:rPr>
          <w:rFonts w:ascii="Gulim" w:eastAsia="Gulim" w:hAnsi="Gulim"/>
        </w:rPr>
      </w:pPr>
    </w:p>
    <w:p w:rsidR="007942B5" w:rsidRPr="00FE106C" w:rsidRDefault="00DE43B0" w:rsidP="00616258">
      <w:pPr>
        <w:pStyle w:val="Heading1"/>
        <w:tabs>
          <w:tab w:val="left" w:pos="216"/>
          <w:tab w:val="right" w:pos="11160"/>
        </w:tabs>
        <w:ind w:right="72"/>
        <w:rPr>
          <w:rFonts w:ascii="Gulim" w:eastAsia="Gulim" w:hAnsi="Gulim" w:cs="Arial"/>
          <w:szCs w:val="16"/>
        </w:rPr>
      </w:pPr>
      <w:r w:rsidRPr="00FE106C">
        <w:rPr>
          <w:rFonts w:ascii="Gulim" w:eastAsia="Gulim" w:hAnsi="Gulim" w:hint="eastAsia"/>
          <w:sz w:val="20"/>
          <w:lang w:eastAsia="ko-KR"/>
        </w:rPr>
        <w:t>지급, 송장, 세금</w:t>
      </w:r>
    </w:p>
    <w:p w:rsidR="00426A13" w:rsidRPr="00FE106C" w:rsidRDefault="00FE106C" w:rsidP="00426A13">
      <w:pPr>
        <w:pStyle w:val="Heading1"/>
        <w:keepNext w:val="0"/>
        <w:tabs>
          <w:tab w:val="left" w:pos="216"/>
          <w:tab w:val="right" w:pos="11160"/>
        </w:tabs>
        <w:ind w:right="-360"/>
        <w:rPr>
          <w:rFonts w:ascii="Gulim" w:eastAsia="Gulim" w:hAnsi="Gulim" w:cs="Arial"/>
          <w:b w:val="0"/>
          <w:szCs w:val="16"/>
        </w:rPr>
      </w:pPr>
      <w:r w:rsidRPr="00FE106C">
        <w:rPr>
          <w:rFonts w:ascii="Gulim" w:eastAsia="Gulim" w:hAnsi="Gulim" w:hint="eastAsia"/>
          <w:b w:val="0"/>
          <w:sz w:val="20"/>
          <w:u w:val="single"/>
          <w:lang w:eastAsia="ko-KR"/>
        </w:rPr>
        <w:t>지급 및 세금계산서.</w:t>
      </w:r>
      <w:r w:rsidRPr="00FE106C">
        <w:rPr>
          <w:rFonts w:ascii="Gulim" w:eastAsia="Gulim" w:hAnsi="Gulim" w:hint="eastAsia"/>
          <w:b w:val="0"/>
          <w:sz w:val="20"/>
          <w:lang w:eastAsia="ko-KR"/>
        </w:rPr>
        <w:t xml:space="preserve"> 오라클의 사업 관행 상 고객(그리고 해당되는 경우 파트너 포함)으로부터 오라클에 지급해야 하는 전액을 명시한 구매 주문서를 제공 받아야 합니다.  오라클의 사업 관행 상 오라클의 제3자 파이낸싱 정책에 따라 요구되는 문서가 오라클에 전달되지 않은 경우 고객(그리고 해당되는 경우 파트너 포함)에게 오라클에 지급해야 하는 금액 및 모든 관련 세금에 대한 세금계산서를 발송합니다.  고객(그리고 해당되는 경우 파트너 포함)은 여하한 세금에 대한 책임이 있으며, 자금제공자가 모든 관련 세금을 납부하지 않는 경우, 고객(그리고 해당되는 경우 파트너 포함)은 관련 주문에 따른 모든 세금을 적시에 납부해야 합니다.</w:t>
      </w:r>
    </w:p>
    <w:sectPr w:rsidR="00426A13" w:rsidRPr="00FE106C" w:rsidSect="00426A13">
      <w:headerReference w:type="even" r:id="rId8"/>
      <w:headerReference w:type="default" r:id="rId9"/>
      <w:footerReference w:type="even" r:id="rId10"/>
      <w:footerReference w:type="default" r:id="rId11"/>
      <w:headerReference w:type="first" r:id="rId12"/>
      <w:footerReference w:type="first" r:id="rId13"/>
      <w:pgSz w:w="12240" w:h="15840"/>
      <w:pgMar w:top="720" w:right="1008" w:bottom="630" w:left="720" w:header="540" w:footer="312"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43401" w:rsidRDefault="00C43401">
      <w:r>
        <w:separator/>
      </w:r>
    </w:p>
  </w:endnote>
  <w:endnote w:type="continuationSeparator" w:id="0">
    <w:p w:rsidR="00C43401" w:rsidRDefault="00C4340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ulim">
    <w:altName w:val="굴림"/>
    <w:panose1 w:val="020B0600000101010101"/>
    <w:charset w:val="81"/>
    <w:family w:val="swiss"/>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276" w:rsidRDefault="00BE2276">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2D6C" w:rsidRDefault="00BC3C0D">
    <w:pPr>
      <w:pStyle w:val="Footer"/>
      <w:tabs>
        <w:tab w:val="clear" w:pos="8640"/>
        <w:tab w:val="right" w:pos="10800"/>
      </w:tabs>
      <w:rPr>
        <w:rFonts w:ascii="Arial" w:hAnsi="Arial"/>
        <w:sz w:val="14"/>
      </w:rPr>
    </w:pPr>
    <w:r>
      <w:rPr>
        <w:rFonts w:ascii="Arial" w:hAnsi="Arial"/>
        <w:sz w:val="14"/>
      </w:rPr>
      <w:t>Third-P</w:t>
    </w:r>
    <w:r w:rsidR="004D2D6C">
      <w:rPr>
        <w:rFonts w:ascii="Arial" w:hAnsi="Arial"/>
        <w:sz w:val="14"/>
      </w:rPr>
      <w:t>arty Financing Notice: End-user</w:t>
    </w:r>
    <w:r w:rsidR="0013088E">
      <w:rPr>
        <w:rFonts w:ascii="Arial" w:hAnsi="Arial"/>
        <w:sz w:val="14"/>
      </w:rPr>
      <w:t xml:space="preserve"> (Korean)</w:t>
    </w:r>
    <w:r>
      <w:rPr>
        <w:rFonts w:ascii="Arial" w:hAnsi="Arial"/>
        <w:sz w:val="14"/>
      </w:rPr>
      <w:tab/>
    </w:r>
    <w:r>
      <w:rPr>
        <w:rFonts w:ascii="Arial" w:hAnsi="Arial"/>
        <w:sz w:val="14"/>
      </w:rPr>
      <w:tab/>
      <w:t>Oracle Corporation</w:t>
    </w:r>
  </w:p>
  <w:p w:rsidR="003F7F5E" w:rsidRDefault="00BE2276">
    <w:pPr>
      <w:pStyle w:val="Footer"/>
      <w:tabs>
        <w:tab w:val="clear" w:pos="8640"/>
        <w:tab w:val="right" w:pos="10800"/>
      </w:tabs>
      <w:rPr>
        <w:rFonts w:ascii="Arial" w:hAnsi="Arial"/>
        <w:sz w:val="14"/>
      </w:rPr>
    </w:pPr>
    <w:r>
      <w:rPr>
        <w:rFonts w:ascii="Arial" w:hAnsi="Arial"/>
        <w:sz w:val="14"/>
      </w:rPr>
      <w:t>March 17, 2014</w:t>
    </w:r>
    <w:r w:rsidR="004D2D6C">
      <w:rPr>
        <w:rFonts w:ascii="Arial" w:hAnsi="Arial"/>
        <w:sz w:val="14"/>
      </w:rPr>
      <w:tab/>
    </w:r>
    <w:r w:rsidR="004D2D6C">
      <w:rPr>
        <w:rFonts w:ascii="Arial" w:hAnsi="Arial"/>
        <w:sz w:val="14"/>
      </w:rPr>
      <w:tab/>
    </w:r>
    <w:r w:rsidR="00426A13" w:rsidRPr="00426A13">
      <w:rPr>
        <w:rFonts w:ascii="Arial" w:hAnsi="Arial" w:cs="Arial"/>
        <w:sz w:val="14"/>
        <w:szCs w:val="14"/>
      </w:rPr>
      <w:t xml:space="preserve">Page </w:t>
    </w:r>
    <w:r w:rsidR="00E30051" w:rsidRPr="00426A13">
      <w:rPr>
        <w:rFonts w:ascii="Arial" w:hAnsi="Arial" w:cs="Arial"/>
        <w:sz w:val="14"/>
        <w:szCs w:val="14"/>
      </w:rPr>
      <w:fldChar w:fldCharType="begin"/>
    </w:r>
    <w:r w:rsidR="00426A13" w:rsidRPr="00426A13">
      <w:rPr>
        <w:rFonts w:ascii="Arial" w:hAnsi="Arial" w:cs="Arial"/>
        <w:sz w:val="14"/>
        <w:szCs w:val="14"/>
      </w:rPr>
      <w:instrText xml:space="preserve"> PAGE </w:instrText>
    </w:r>
    <w:r w:rsidR="00E30051" w:rsidRPr="00426A13">
      <w:rPr>
        <w:rFonts w:ascii="Arial" w:hAnsi="Arial" w:cs="Arial"/>
        <w:sz w:val="14"/>
        <w:szCs w:val="14"/>
      </w:rPr>
      <w:fldChar w:fldCharType="separate"/>
    </w:r>
    <w:r w:rsidR="002C0B2C">
      <w:rPr>
        <w:rFonts w:ascii="Arial" w:hAnsi="Arial" w:cs="Arial"/>
        <w:noProof/>
        <w:sz w:val="14"/>
        <w:szCs w:val="14"/>
      </w:rPr>
      <w:t>2</w:t>
    </w:r>
    <w:r w:rsidR="00E30051" w:rsidRPr="00426A13">
      <w:rPr>
        <w:rFonts w:ascii="Arial" w:hAnsi="Arial" w:cs="Arial"/>
        <w:sz w:val="14"/>
        <w:szCs w:val="14"/>
      </w:rPr>
      <w:fldChar w:fldCharType="end"/>
    </w:r>
    <w:r w:rsidR="00426A13" w:rsidRPr="00426A13">
      <w:rPr>
        <w:rFonts w:ascii="Arial" w:hAnsi="Arial" w:cs="Arial"/>
        <w:sz w:val="14"/>
        <w:szCs w:val="14"/>
      </w:rPr>
      <w:t xml:space="preserve"> of </w:t>
    </w:r>
    <w:r w:rsidR="00E30051" w:rsidRPr="00426A13">
      <w:rPr>
        <w:rFonts w:ascii="Arial" w:hAnsi="Arial" w:cs="Arial"/>
        <w:sz w:val="14"/>
        <w:szCs w:val="14"/>
      </w:rPr>
      <w:fldChar w:fldCharType="begin"/>
    </w:r>
    <w:r w:rsidR="00426A13" w:rsidRPr="00426A13">
      <w:rPr>
        <w:rFonts w:ascii="Arial" w:hAnsi="Arial" w:cs="Arial"/>
        <w:sz w:val="14"/>
        <w:szCs w:val="14"/>
      </w:rPr>
      <w:instrText xml:space="preserve"> NUMPAGES  </w:instrText>
    </w:r>
    <w:r w:rsidR="00E30051" w:rsidRPr="00426A13">
      <w:rPr>
        <w:rFonts w:ascii="Arial" w:hAnsi="Arial" w:cs="Arial"/>
        <w:sz w:val="14"/>
        <w:szCs w:val="14"/>
      </w:rPr>
      <w:fldChar w:fldCharType="separate"/>
    </w:r>
    <w:r w:rsidR="002C0B2C">
      <w:rPr>
        <w:rFonts w:ascii="Arial" w:hAnsi="Arial" w:cs="Arial"/>
        <w:noProof/>
        <w:sz w:val="14"/>
        <w:szCs w:val="14"/>
      </w:rPr>
      <w:t>2</w:t>
    </w:r>
    <w:r w:rsidR="00E30051" w:rsidRPr="00426A13">
      <w:rPr>
        <w:rFonts w:ascii="Arial" w:hAnsi="Arial" w:cs="Arial"/>
        <w:sz w:val="14"/>
        <w:szCs w:val="14"/>
      </w:rPr>
      <w:fldChar w:fldCharType="end"/>
    </w:r>
    <w:r w:rsidR="00753349">
      <w:rPr>
        <w:rFonts w:ascii="Arial" w:hAnsi="Arial"/>
        <w:sz w:val="14"/>
      </w:rPr>
      <w:tab/>
    </w:r>
    <w:r w:rsidR="00753349">
      <w:rPr>
        <w:rFonts w:ascii="Arial" w:hAnsi="Arial"/>
        <w:sz w:val="14"/>
      </w:rPr>
      <w:tab/>
    </w:r>
    <w:r w:rsidR="00753349">
      <w:rPr>
        <w:rFonts w:ascii="Arial" w:hAnsi="Arial"/>
        <w:sz w:val="14"/>
      </w:rPr>
      <w:tab/>
    </w:r>
    <w:r w:rsidR="00753349">
      <w:rPr>
        <w:rFonts w:ascii="Arial" w:hAnsi="Arial"/>
        <w:sz w:val="14"/>
      </w:rP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276" w:rsidRDefault="00BE227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43401" w:rsidRDefault="00C43401">
      <w:r>
        <w:separator/>
      </w:r>
    </w:p>
  </w:footnote>
  <w:footnote w:type="continuationSeparator" w:id="0">
    <w:p w:rsidR="00C43401" w:rsidRDefault="00C4340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276" w:rsidRDefault="00BE2276">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276" w:rsidRDefault="00BE2276">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276" w:rsidRDefault="00BE2276">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07"/>
  <w:proofState w:spelling="clean" w:grammar="clean"/>
  <w:documentProtection w:edit="forms" w:enforcement="1" w:cryptProviderType="rsaFull" w:cryptAlgorithmClass="hash" w:cryptAlgorithmType="typeAny" w:cryptAlgorithmSid="4" w:cryptSpinCount="100000" w:hash="gbDQj+qzEMv5e/EO0QesgfZJXxk=" w:salt="jsaV7T66nV26HiLV05NizQ=="/>
  <w:defaultTabStop w:val="720"/>
  <w:noPunctuationKerning/>
  <w:characterSpacingControl w:val="doNotCompress"/>
  <w:footnotePr>
    <w:footnote w:id="-1"/>
    <w:footnote w:id="0"/>
  </w:footnotePr>
  <w:endnotePr>
    <w:endnote w:id="-1"/>
    <w:endnote w:id="0"/>
  </w:endnotePr>
  <w:compat/>
  <w:rsids>
    <w:rsidRoot w:val="00F231C6"/>
    <w:rsid w:val="0000442F"/>
    <w:rsid w:val="0000622F"/>
    <w:rsid w:val="00032581"/>
    <w:rsid w:val="00037388"/>
    <w:rsid w:val="000C1784"/>
    <w:rsid w:val="000C7194"/>
    <w:rsid w:val="000D3E89"/>
    <w:rsid w:val="000E19A8"/>
    <w:rsid w:val="000E221C"/>
    <w:rsid w:val="000F044E"/>
    <w:rsid w:val="000F7A07"/>
    <w:rsid w:val="0013088E"/>
    <w:rsid w:val="00140CB0"/>
    <w:rsid w:val="00142506"/>
    <w:rsid w:val="00143355"/>
    <w:rsid w:val="00152C84"/>
    <w:rsid w:val="00176935"/>
    <w:rsid w:val="001803D0"/>
    <w:rsid w:val="00187803"/>
    <w:rsid w:val="001B69A6"/>
    <w:rsid w:val="001E2863"/>
    <w:rsid w:val="001F64A3"/>
    <w:rsid w:val="00220E64"/>
    <w:rsid w:val="002332B5"/>
    <w:rsid w:val="00274F9D"/>
    <w:rsid w:val="00275C10"/>
    <w:rsid w:val="00285467"/>
    <w:rsid w:val="0029042B"/>
    <w:rsid w:val="002C0B2C"/>
    <w:rsid w:val="002D396A"/>
    <w:rsid w:val="002F6FF0"/>
    <w:rsid w:val="0031576F"/>
    <w:rsid w:val="0032444A"/>
    <w:rsid w:val="00332028"/>
    <w:rsid w:val="003337B0"/>
    <w:rsid w:val="00342D11"/>
    <w:rsid w:val="00352793"/>
    <w:rsid w:val="00360332"/>
    <w:rsid w:val="00363A20"/>
    <w:rsid w:val="003F7F5E"/>
    <w:rsid w:val="004045C2"/>
    <w:rsid w:val="004061B1"/>
    <w:rsid w:val="00412163"/>
    <w:rsid w:val="00426A13"/>
    <w:rsid w:val="00465CCA"/>
    <w:rsid w:val="00467572"/>
    <w:rsid w:val="004D2D6C"/>
    <w:rsid w:val="004F5798"/>
    <w:rsid w:val="00521CF2"/>
    <w:rsid w:val="00526EE2"/>
    <w:rsid w:val="005306C6"/>
    <w:rsid w:val="00534DF4"/>
    <w:rsid w:val="00542732"/>
    <w:rsid w:val="005571BB"/>
    <w:rsid w:val="005606B2"/>
    <w:rsid w:val="005764F8"/>
    <w:rsid w:val="005775A4"/>
    <w:rsid w:val="0059100C"/>
    <w:rsid w:val="005A3126"/>
    <w:rsid w:val="005A3585"/>
    <w:rsid w:val="005F7059"/>
    <w:rsid w:val="006148FA"/>
    <w:rsid w:val="00616258"/>
    <w:rsid w:val="00637176"/>
    <w:rsid w:val="006C480A"/>
    <w:rsid w:val="006E5DF7"/>
    <w:rsid w:val="0070180F"/>
    <w:rsid w:val="00753349"/>
    <w:rsid w:val="00783F54"/>
    <w:rsid w:val="007942B5"/>
    <w:rsid w:val="007A7A14"/>
    <w:rsid w:val="007B71D7"/>
    <w:rsid w:val="007D1EDF"/>
    <w:rsid w:val="007E3C4E"/>
    <w:rsid w:val="0082194B"/>
    <w:rsid w:val="00836932"/>
    <w:rsid w:val="00873BAC"/>
    <w:rsid w:val="00882176"/>
    <w:rsid w:val="0088505A"/>
    <w:rsid w:val="009258B6"/>
    <w:rsid w:val="00966B5B"/>
    <w:rsid w:val="009B34B7"/>
    <w:rsid w:val="009C3836"/>
    <w:rsid w:val="009D2CC5"/>
    <w:rsid w:val="00A023AE"/>
    <w:rsid w:val="00A1695F"/>
    <w:rsid w:val="00A54712"/>
    <w:rsid w:val="00A558D0"/>
    <w:rsid w:val="00A77854"/>
    <w:rsid w:val="00A9110B"/>
    <w:rsid w:val="00AA453C"/>
    <w:rsid w:val="00AC2959"/>
    <w:rsid w:val="00AE3166"/>
    <w:rsid w:val="00AF7A1B"/>
    <w:rsid w:val="00B16EB1"/>
    <w:rsid w:val="00B24EF0"/>
    <w:rsid w:val="00B32653"/>
    <w:rsid w:val="00B55EA4"/>
    <w:rsid w:val="00B6646A"/>
    <w:rsid w:val="00B771A5"/>
    <w:rsid w:val="00B81E17"/>
    <w:rsid w:val="00BA7D3F"/>
    <w:rsid w:val="00BC3C0D"/>
    <w:rsid w:val="00BD1015"/>
    <w:rsid w:val="00BE2276"/>
    <w:rsid w:val="00C0793E"/>
    <w:rsid w:val="00C43401"/>
    <w:rsid w:val="00C53CAB"/>
    <w:rsid w:val="00C57738"/>
    <w:rsid w:val="00C64ED8"/>
    <w:rsid w:val="00C77652"/>
    <w:rsid w:val="00CD5496"/>
    <w:rsid w:val="00D02882"/>
    <w:rsid w:val="00D13CEF"/>
    <w:rsid w:val="00D23F91"/>
    <w:rsid w:val="00D34331"/>
    <w:rsid w:val="00D9752F"/>
    <w:rsid w:val="00DA7749"/>
    <w:rsid w:val="00DB4769"/>
    <w:rsid w:val="00DE43B0"/>
    <w:rsid w:val="00DF73EC"/>
    <w:rsid w:val="00DF77E0"/>
    <w:rsid w:val="00E05FC1"/>
    <w:rsid w:val="00E20EB1"/>
    <w:rsid w:val="00E22B89"/>
    <w:rsid w:val="00E30051"/>
    <w:rsid w:val="00E30E59"/>
    <w:rsid w:val="00E31602"/>
    <w:rsid w:val="00E429EA"/>
    <w:rsid w:val="00E65FDF"/>
    <w:rsid w:val="00EE5E4D"/>
    <w:rsid w:val="00F231C6"/>
    <w:rsid w:val="00FC04C3"/>
    <w:rsid w:val="00FD326A"/>
    <w:rsid w:val="00FE106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0"/>
    <w:lsdException w:name="Body Tex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480A"/>
    <w:rPr>
      <w:sz w:val="24"/>
      <w:szCs w:val="24"/>
    </w:rPr>
  </w:style>
  <w:style w:type="paragraph" w:styleId="Heading1">
    <w:name w:val="heading 1"/>
    <w:basedOn w:val="Normal"/>
    <w:next w:val="Normal"/>
    <w:qFormat/>
    <w:rsid w:val="006C480A"/>
    <w:pPr>
      <w:keepNext/>
      <w:overflowPunct w:val="0"/>
      <w:autoSpaceDE w:val="0"/>
      <w:autoSpaceDN w:val="0"/>
      <w:adjustRightInd w:val="0"/>
      <w:jc w:val="both"/>
      <w:textAlignment w:val="baseline"/>
      <w:outlineLvl w:val="0"/>
    </w:pPr>
    <w:rPr>
      <w:rFonts w:ascii="Arial" w:hAnsi="Arial"/>
      <w:b/>
      <w:sz w:val="16"/>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sid w:val="006C480A"/>
    <w:pPr>
      <w:overflowPunct w:val="0"/>
      <w:autoSpaceDE w:val="0"/>
      <w:autoSpaceDN w:val="0"/>
      <w:adjustRightInd w:val="0"/>
      <w:jc w:val="both"/>
      <w:textAlignment w:val="baseline"/>
    </w:pPr>
    <w:rPr>
      <w:sz w:val="20"/>
      <w:szCs w:val="20"/>
    </w:rPr>
  </w:style>
  <w:style w:type="paragraph" w:styleId="BodyText2">
    <w:name w:val="Body Text 2"/>
    <w:basedOn w:val="Normal"/>
    <w:semiHidden/>
    <w:rsid w:val="006C480A"/>
    <w:pPr>
      <w:overflowPunct w:val="0"/>
      <w:autoSpaceDE w:val="0"/>
      <w:autoSpaceDN w:val="0"/>
      <w:adjustRightInd w:val="0"/>
      <w:jc w:val="both"/>
      <w:textAlignment w:val="baseline"/>
    </w:pPr>
    <w:rPr>
      <w:rFonts w:ascii="Arial" w:hAnsi="Arial"/>
      <w:sz w:val="16"/>
      <w:szCs w:val="20"/>
    </w:rPr>
  </w:style>
  <w:style w:type="paragraph" w:styleId="Footer">
    <w:name w:val="footer"/>
    <w:basedOn w:val="Normal"/>
    <w:link w:val="FooterChar"/>
    <w:uiPriority w:val="99"/>
    <w:rsid w:val="006C480A"/>
    <w:pPr>
      <w:tabs>
        <w:tab w:val="center" w:pos="4320"/>
        <w:tab w:val="right" w:pos="8640"/>
      </w:tabs>
      <w:overflowPunct w:val="0"/>
      <w:autoSpaceDE w:val="0"/>
      <w:autoSpaceDN w:val="0"/>
      <w:adjustRightInd w:val="0"/>
      <w:textAlignment w:val="baseline"/>
    </w:pPr>
    <w:rPr>
      <w:szCs w:val="20"/>
    </w:rPr>
  </w:style>
  <w:style w:type="character" w:styleId="Hyperlink">
    <w:name w:val="Hyperlink"/>
    <w:basedOn w:val="DefaultParagraphFont"/>
    <w:semiHidden/>
    <w:rsid w:val="006C480A"/>
    <w:rPr>
      <w:color w:val="0000FF"/>
      <w:u w:val="single"/>
    </w:rPr>
  </w:style>
  <w:style w:type="paragraph" w:styleId="Header">
    <w:name w:val="header"/>
    <w:basedOn w:val="Normal"/>
    <w:link w:val="HeaderChar"/>
    <w:uiPriority w:val="99"/>
    <w:semiHidden/>
    <w:unhideWhenUsed/>
    <w:rsid w:val="00526EE2"/>
    <w:pPr>
      <w:tabs>
        <w:tab w:val="center" w:pos="4680"/>
        <w:tab w:val="right" w:pos="9360"/>
      </w:tabs>
    </w:pPr>
  </w:style>
  <w:style w:type="character" w:customStyle="1" w:styleId="HeaderChar">
    <w:name w:val="Header Char"/>
    <w:basedOn w:val="DefaultParagraphFont"/>
    <w:link w:val="Header"/>
    <w:uiPriority w:val="99"/>
    <w:semiHidden/>
    <w:rsid w:val="00526EE2"/>
    <w:rPr>
      <w:sz w:val="24"/>
      <w:szCs w:val="24"/>
    </w:rPr>
  </w:style>
  <w:style w:type="paragraph" w:styleId="BalloonText">
    <w:name w:val="Balloon Text"/>
    <w:basedOn w:val="Normal"/>
    <w:link w:val="BalloonTextChar"/>
    <w:uiPriority w:val="99"/>
    <w:semiHidden/>
    <w:unhideWhenUsed/>
    <w:rsid w:val="0000622F"/>
    <w:rPr>
      <w:rFonts w:ascii="Tahoma" w:hAnsi="Tahoma" w:cs="Tahoma"/>
      <w:sz w:val="16"/>
      <w:szCs w:val="16"/>
    </w:rPr>
  </w:style>
  <w:style w:type="character" w:customStyle="1" w:styleId="BalloonTextChar">
    <w:name w:val="Balloon Text Char"/>
    <w:basedOn w:val="DefaultParagraphFont"/>
    <w:link w:val="BalloonText"/>
    <w:uiPriority w:val="99"/>
    <w:semiHidden/>
    <w:rsid w:val="0000622F"/>
    <w:rPr>
      <w:rFonts w:ascii="Tahoma" w:hAnsi="Tahoma" w:cs="Tahoma"/>
      <w:sz w:val="16"/>
      <w:szCs w:val="16"/>
    </w:rPr>
  </w:style>
  <w:style w:type="character" w:customStyle="1" w:styleId="BodyTextChar">
    <w:name w:val="Body Text Char"/>
    <w:basedOn w:val="DefaultParagraphFont"/>
    <w:semiHidden/>
    <w:rsid w:val="007942B5"/>
  </w:style>
  <w:style w:type="character" w:customStyle="1" w:styleId="FooterChar">
    <w:name w:val="Footer Char"/>
    <w:basedOn w:val="DefaultParagraphFont"/>
    <w:link w:val="Footer"/>
    <w:uiPriority w:val="99"/>
    <w:rsid w:val="004D2D6C"/>
    <w:rPr>
      <w:sz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hyperlink" Target="http://www.oracle.com/contracts" TargetMode="External"/><Relationship Id="rId12" Type="http://schemas.openxmlformats.org/officeDocument/2006/relationships/header" Target="head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oracle.com/contracts" TargetMode="External"/><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823</Words>
  <Characters>3037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THIRD PARTY FINANCING NOTICE</vt:lpstr>
    </vt:vector>
  </TitlesOfParts>
  <Company>Oracle Corporation</Company>
  <LinksUpToDate>false</LinksUpToDate>
  <CharactersWithSpaces>3853</CharactersWithSpaces>
  <SharedDoc>false</SharedDoc>
  <HLinks>
    <vt:vector size="12" baseType="variant">
      <vt:variant>
        <vt:i4>2293882</vt:i4>
      </vt:variant>
      <vt:variant>
        <vt:i4>3</vt:i4>
      </vt:variant>
      <vt:variant>
        <vt:i4>0</vt:i4>
      </vt:variant>
      <vt:variant>
        <vt:i4>5</vt:i4>
      </vt:variant>
      <vt:variant>
        <vt:lpwstr>http://www.oracle.com/us/products/financing/policies/index.html</vt:lpwstr>
      </vt:variant>
      <vt:variant>
        <vt:lpwstr/>
      </vt:variant>
      <vt:variant>
        <vt:i4>2293882</vt:i4>
      </vt:variant>
      <vt:variant>
        <vt:i4>0</vt:i4>
      </vt:variant>
      <vt:variant>
        <vt:i4>0</vt:i4>
      </vt:variant>
      <vt:variant>
        <vt:i4>5</vt:i4>
      </vt:variant>
      <vt:variant>
        <vt:lpwstr>http://www.oracle.com/us/products/financing/policies/index.html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THIRD PARTY FINANCING NOTICE</dc:title>
  <dc:creator>Internal Systems</dc:creator>
  <cp:lastModifiedBy>lberzin_us</cp:lastModifiedBy>
  <cp:revision>2</cp:revision>
  <cp:lastPrinted>2013-10-07T22:38:00Z</cp:lastPrinted>
  <dcterms:created xsi:type="dcterms:W3CDTF">2014-07-08T23:19:00Z</dcterms:created>
  <dcterms:modified xsi:type="dcterms:W3CDTF">2014-07-08T23:19:00Z</dcterms:modified>
</cp:coreProperties>
</file>