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C3C0D" w:rsidRPr="00AC2959" w:rsidRDefault="002D26DE">
      <w:pPr>
        <w:pStyle w:val="Heading1"/>
        <w:tabs>
          <w:tab w:val="center" w:pos="5580"/>
          <w:tab w:val="right" w:pos="11160"/>
        </w:tabs>
        <w:spacing w:line="160" w:lineRule="exact"/>
        <w:ind w:right="-360"/>
        <w:jc w:val="center"/>
      </w:pPr>
      <w:r w:rsidRPr="00A56B78">
        <w:rPr>
          <w:bCs/>
          <w:lang w:val="fr-FR"/>
        </w:rPr>
        <w:t>NOTE DE FINANCEMENT PAR UN TIERS</w:t>
      </w:r>
      <w:r w:rsidR="009258B6" w:rsidRPr="009258B6">
        <w:t xml:space="preserve"> </w:t>
      </w:r>
    </w:p>
    <w:p w:rsidR="00BC3C0D" w:rsidRPr="002D26DE" w:rsidRDefault="002D26DE" w:rsidP="002D26DE">
      <w:pPr>
        <w:tabs>
          <w:tab w:val="right" w:pos="11160"/>
        </w:tabs>
        <w:ind w:right="-360"/>
        <w:jc w:val="center"/>
        <w:rPr>
          <w:rFonts w:cs="Arial"/>
          <w:szCs w:val="16"/>
        </w:rPr>
      </w:pPr>
      <w:r w:rsidRPr="002D26DE">
        <w:rPr>
          <w:rFonts w:cs="Arial"/>
          <w:szCs w:val="16"/>
          <w:lang w:val="fr-FR"/>
        </w:rPr>
        <w:t>Date d’entrée en vigueur :</w:t>
      </w:r>
      <w:r w:rsidR="009258B6" w:rsidRPr="002D26DE">
        <w:rPr>
          <w:rFonts w:cs="Arial"/>
          <w:szCs w:val="16"/>
        </w:rPr>
        <w:t xml:space="preserve"> </w:t>
      </w:r>
      <w:r w:rsidRPr="002D26DE">
        <w:rPr>
          <w:rFonts w:cs="Arial"/>
          <w:szCs w:val="16"/>
        </w:rPr>
        <w:t>17 mars 2014</w:t>
      </w:r>
    </w:p>
    <w:p w:rsidR="00C77652" w:rsidRPr="001D23A6" w:rsidRDefault="002D26DE" w:rsidP="002D26DE">
      <w:pPr>
        <w:pStyle w:val="Heading1"/>
        <w:rPr>
          <w:rFonts w:cs="Arial"/>
          <w:szCs w:val="16"/>
        </w:rPr>
      </w:pPr>
      <w:r w:rsidRPr="00A56B78">
        <w:rPr>
          <w:lang w:val="fr-FR"/>
        </w:rPr>
        <w:t>Objet</w:t>
      </w:r>
      <w:r w:rsidR="00C77652" w:rsidRPr="001D23A6">
        <w:rPr>
          <w:rFonts w:cs="Arial"/>
          <w:szCs w:val="16"/>
        </w:rPr>
        <w:t xml:space="preserve">  </w:t>
      </w:r>
    </w:p>
    <w:p w:rsidR="00BC3C0D" w:rsidRDefault="002D26DE" w:rsidP="00616258">
      <w:pPr>
        <w:tabs>
          <w:tab w:val="right" w:pos="11160"/>
        </w:tabs>
        <w:ind w:right="-360"/>
        <w:jc w:val="both"/>
      </w:pPr>
      <w:r>
        <w:rPr>
          <w:lang w:val="fr-FR"/>
        </w:rPr>
        <w:t>Pour les cas où l’acquisition de matériel, programmes et/ou services (ci-après, collectivement, les « produits ») acquis auprès d’Oracle ou de l’un de ses partenaires de distribution serait financée ou ferait l’objet d’un crédit-bail, la présente Note expose les politiques de financement et de crédit-bail d’Oracle.  La présente Note s’applique lorsque le Client ou le Partenaire conclut un Contrat de Financement afin de payer les produits acquis auprès du fournisseur.</w:t>
      </w:r>
    </w:p>
    <w:p w:rsidR="00BC3C0D" w:rsidRPr="00C93A4C" w:rsidRDefault="00BC3C0D" w:rsidP="00616258">
      <w:pPr>
        <w:pStyle w:val="BodyText"/>
        <w:tabs>
          <w:tab w:val="right" w:pos="11160"/>
        </w:tabs>
        <w:ind w:right="-360"/>
        <w:rPr>
          <w:sz w:val="12"/>
          <w:szCs w:val="12"/>
        </w:rPr>
      </w:pPr>
    </w:p>
    <w:p w:rsidR="00C77652" w:rsidRPr="001D23A6" w:rsidRDefault="002D26DE" w:rsidP="00616258">
      <w:pPr>
        <w:ind w:right="72"/>
        <w:jc w:val="both"/>
        <w:rPr>
          <w:rFonts w:cs="Arial"/>
          <w:szCs w:val="16"/>
        </w:rPr>
      </w:pPr>
      <w:r w:rsidRPr="00A56B78">
        <w:rPr>
          <w:b/>
          <w:lang w:val="fr-FR"/>
        </w:rPr>
        <w:t>Préambule</w:t>
      </w:r>
      <w:r w:rsidR="00C77652" w:rsidRPr="001D23A6">
        <w:rPr>
          <w:rFonts w:cs="Arial"/>
          <w:szCs w:val="16"/>
        </w:rPr>
        <w:t xml:space="preserve">  </w:t>
      </w:r>
    </w:p>
    <w:p w:rsidR="00BC3C0D" w:rsidRDefault="002D26DE" w:rsidP="002D26DE">
      <w:r>
        <w:rPr>
          <w:lang w:val="fr-FR"/>
        </w:rPr>
        <w:t xml:space="preserve">Oracle détient les droits de propriété intellectuelle concédés sous licence directement par Oracle ou indirectement par les Partenaires, qu’ils soient vendus séparément ou avec le matériel (y compris, notamment, le système d’exploitation et les logiciels intégrés (ex : </w:t>
      </w:r>
      <w:proofErr w:type="spellStart"/>
      <w:r>
        <w:rPr>
          <w:lang w:val="fr-FR"/>
        </w:rPr>
        <w:t>micrologiciel</w:t>
      </w:r>
      <w:proofErr w:type="spellEnd"/>
      <w:r>
        <w:rPr>
          <w:lang w:val="fr-FR"/>
        </w:rPr>
        <w:t>)).</w:t>
      </w:r>
      <w:r w:rsidR="00BC3C0D">
        <w:t xml:space="preserve">  </w:t>
      </w:r>
      <w:r>
        <w:rPr>
          <w:lang w:val="fr-FR"/>
        </w:rPr>
        <w:t>Cette Note de Financement par un Tiers garantit que les transactions respectent les politiques d’Oracle, y compris celles relatives au paiement, à l’utilisation et à la distribution de ses droits de propriété intellectuelle. Elle contient en outre des informations sur les droits et les relations entre les parties.</w:t>
      </w:r>
    </w:p>
    <w:p w:rsidR="00C93A4C" w:rsidRPr="00C93A4C" w:rsidRDefault="00C93A4C" w:rsidP="00C93A4C">
      <w:pPr>
        <w:pStyle w:val="BodyText"/>
        <w:tabs>
          <w:tab w:val="right" w:pos="11160"/>
        </w:tabs>
        <w:ind w:right="-360"/>
        <w:rPr>
          <w:sz w:val="12"/>
          <w:szCs w:val="12"/>
        </w:rPr>
      </w:pPr>
    </w:p>
    <w:p w:rsidR="00C77652" w:rsidRPr="002D26DE" w:rsidRDefault="002D26DE" w:rsidP="002D26DE">
      <w:pPr>
        <w:pStyle w:val="Heading1"/>
        <w:rPr>
          <w:szCs w:val="16"/>
        </w:rPr>
      </w:pPr>
      <w:r w:rsidRPr="002D26DE">
        <w:t>Parties</w:t>
      </w:r>
    </w:p>
    <w:p w:rsidR="00C77652" w:rsidRPr="001D23A6" w:rsidRDefault="002D26DE" w:rsidP="002D26DE">
      <w:pPr>
        <w:rPr>
          <w:rFonts w:cs="Arial"/>
          <w:szCs w:val="16"/>
        </w:rPr>
      </w:pPr>
      <w:r w:rsidRPr="00A56B78">
        <w:rPr>
          <w:u w:val="single"/>
          <w:lang w:val="fr-FR"/>
        </w:rPr>
        <w:t>Client</w:t>
      </w:r>
      <w:r>
        <w:rPr>
          <w:lang w:val="fr-FR"/>
        </w:rPr>
        <w:t>.  L’utilisateur final qui aura le droit d’utiliser le matériel, les programmes et les services.</w:t>
      </w:r>
      <w:r w:rsidR="00C77652" w:rsidRPr="001D23A6">
        <w:rPr>
          <w:rFonts w:cs="Arial"/>
          <w:szCs w:val="16"/>
        </w:rPr>
        <w:t xml:space="preserve">  </w:t>
      </w:r>
    </w:p>
    <w:p w:rsidR="00C77652" w:rsidRPr="001D23A6" w:rsidRDefault="002D26DE" w:rsidP="002D26DE">
      <w:pPr>
        <w:rPr>
          <w:rFonts w:cs="Arial"/>
          <w:szCs w:val="16"/>
          <w:u w:val="single"/>
        </w:rPr>
      </w:pPr>
      <w:r w:rsidRPr="00A56B78">
        <w:rPr>
          <w:u w:val="single"/>
          <w:lang w:val="fr-FR"/>
        </w:rPr>
        <w:t>Investisseur</w:t>
      </w:r>
      <w:r>
        <w:rPr>
          <w:lang w:val="fr-FR"/>
        </w:rPr>
        <w:t>. L’établissement de financement ou de crédit-bail qui conclura un Contrat de Financement.</w:t>
      </w:r>
      <w:r w:rsidR="00C77652" w:rsidRPr="001D23A6">
        <w:rPr>
          <w:rFonts w:cs="Arial"/>
          <w:szCs w:val="16"/>
        </w:rPr>
        <w:t xml:space="preserve"> </w:t>
      </w:r>
    </w:p>
    <w:p w:rsidR="00C77652" w:rsidRPr="001D23A6" w:rsidRDefault="002D26DE" w:rsidP="002D26DE">
      <w:pPr>
        <w:rPr>
          <w:rFonts w:cs="Arial"/>
          <w:szCs w:val="16"/>
        </w:rPr>
      </w:pPr>
      <w:r w:rsidRPr="00A56B78">
        <w:rPr>
          <w:u w:val="single"/>
          <w:lang w:val="fr-FR"/>
        </w:rPr>
        <w:t>Oracle</w:t>
      </w:r>
      <w:r>
        <w:rPr>
          <w:lang w:val="fr-FR"/>
        </w:rPr>
        <w:t>. Oracle Corporation et ses sociétés affiliées.</w:t>
      </w:r>
    </w:p>
    <w:p w:rsidR="00DF77E0" w:rsidRPr="005606B2" w:rsidRDefault="002D26DE" w:rsidP="002D26DE">
      <w:pPr>
        <w:rPr>
          <w:rFonts w:cs="Arial"/>
          <w:szCs w:val="16"/>
        </w:rPr>
      </w:pPr>
      <w:r w:rsidRPr="003E6208">
        <w:rPr>
          <w:u w:val="single"/>
          <w:lang w:val="fr-FR"/>
        </w:rPr>
        <w:t>Partenaire</w:t>
      </w:r>
      <w:r w:rsidRPr="00A56B78">
        <w:t xml:space="preserve">. </w:t>
      </w:r>
      <w:r w:rsidRPr="00A56B78">
        <w:rPr>
          <w:lang w:val="fr-FR"/>
        </w:rPr>
        <w:t>Un fournisseur qui acquiert le matériel, les programmes et les services auprès d’Oracle afin d’exécuter (directement ou par le biais d’un distributeur Oracle agr</w:t>
      </w:r>
      <w:r>
        <w:rPr>
          <w:lang w:val="fr-FR"/>
        </w:rPr>
        <w:t>éé</w:t>
      </w:r>
      <w:r w:rsidRPr="00A56B78">
        <w:rPr>
          <w:lang w:val="fr-FR"/>
        </w:rPr>
        <w:t>) un</w:t>
      </w:r>
      <w:r>
        <w:rPr>
          <w:lang w:val="fr-FR"/>
        </w:rPr>
        <w:t>e</w:t>
      </w:r>
      <w:r w:rsidRPr="00A56B78">
        <w:rPr>
          <w:lang w:val="fr-FR"/>
        </w:rPr>
        <w:t xml:space="preserve"> Commande.</w:t>
      </w:r>
    </w:p>
    <w:p w:rsidR="00C93A4C" w:rsidRPr="00C93A4C" w:rsidRDefault="00C93A4C" w:rsidP="00C93A4C">
      <w:pPr>
        <w:pStyle w:val="BodyText"/>
        <w:tabs>
          <w:tab w:val="right" w:pos="11160"/>
        </w:tabs>
        <w:ind w:right="-360"/>
        <w:rPr>
          <w:sz w:val="12"/>
          <w:szCs w:val="12"/>
        </w:rPr>
      </w:pPr>
    </w:p>
    <w:p w:rsidR="00C77652" w:rsidRPr="00192338" w:rsidRDefault="00192338" w:rsidP="00616258">
      <w:pPr>
        <w:pStyle w:val="Heading1"/>
        <w:tabs>
          <w:tab w:val="right" w:pos="11160"/>
        </w:tabs>
        <w:ind w:right="72"/>
        <w:rPr>
          <w:rFonts w:cs="Arial"/>
          <w:szCs w:val="16"/>
        </w:rPr>
      </w:pPr>
      <w:r w:rsidRPr="00192338">
        <w:rPr>
          <w:lang w:val="fr-FR"/>
        </w:rPr>
        <w:t>Contrats</w:t>
      </w:r>
    </w:p>
    <w:p w:rsidR="00C77652" w:rsidRPr="001D23A6" w:rsidRDefault="00192338" w:rsidP="00616258">
      <w:pPr>
        <w:tabs>
          <w:tab w:val="right" w:pos="11160"/>
        </w:tabs>
        <w:ind w:right="72"/>
        <w:jc w:val="both"/>
        <w:rPr>
          <w:rFonts w:cs="Arial"/>
          <w:szCs w:val="16"/>
        </w:rPr>
      </w:pPr>
      <w:r w:rsidRPr="003E6208">
        <w:rPr>
          <w:u w:val="single"/>
          <w:lang w:val="fr-FR"/>
        </w:rPr>
        <w:t>Commande</w:t>
      </w:r>
      <w:r w:rsidRPr="003E6208">
        <w:rPr>
          <w:lang w:val="fr-FR"/>
        </w:rPr>
        <w:t xml:space="preserve">. Le document remis au fournisseur (Oracle et/ou un Partenaire) qui précise les produits que le Client souhaite acheter auprès du fournisseur </w:t>
      </w:r>
      <w:r>
        <w:rPr>
          <w:lang w:val="fr-FR"/>
        </w:rPr>
        <w:t>ainsi que</w:t>
      </w:r>
      <w:r w:rsidRPr="003E6208">
        <w:rPr>
          <w:lang w:val="fr-FR"/>
        </w:rPr>
        <w:t xml:space="preserve"> les contrats afférents émis par le fournisseur qui exposent les conditions d’utilisation de ces produits.</w:t>
      </w:r>
    </w:p>
    <w:p w:rsidR="00C77652" w:rsidRPr="001D23A6" w:rsidRDefault="00192338" w:rsidP="00616258">
      <w:pPr>
        <w:jc w:val="both"/>
        <w:rPr>
          <w:rFonts w:cs="Arial"/>
          <w:szCs w:val="16"/>
        </w:rPr>
      </w:pPr>
      <w:r w:rsidRPr="003E6208">
        <w:rPr>
          <w:u w:val="single"/>
          <w:lang w:val="fr-FR"/>
        </w:rPr>
        <w:t>Commande du Partenaire</w:t>
      </w:r>
      <w:r w:rsidRPr="003E6208">
        <w:rPr>
          <w:lang w:val="fr-FR"/>
        </w:rPr>
        <w:t>. Une commande passée par un Partenaire auprès d’Oracle pour des produits et services Oracle, sous réserve du contrat de distribution applicable conclu avec Oracle.</w:t>
      </w:r>
      <w:r w:rsidR="00C77652" w:rsidRPr="001D23A6">
        <w:rPr>
          <w:rFonts w:cs="Arial"/>
          <w:szCs w:val="16"/>
        </w:rPr>
        <w:t xml:space="preserve"> </w:t>
      </w:r>
    </w:p>
    <w:p w:rsidR="00BC3C0D" w:rsidRDefault="00192338" w:rsidP="00616258">
      <w:pPr>
        <w:tabs>
          <w:tab w:val="right" w:pos="11160"/>
        </w:tabs>
        <w:ind w:right="-360"/>
        <w:jc w:val="both"/>
      </w:pPr>
      <w:r w:rsidRPr="00A56B78">
        <w:rPr>
          <w:rFonts w:cs="Arial"/>
          <w:u w:val="single"/>
          <w:lang w:val="fr-FR"/>
        </w:rPr>
        <w:t>Contra</w:t>
      </w:r>
      <w:r w:rsidRPr="004004FB">
        <w:rPr>
          <w:rFonts w:cs="Arial"/>
          <w:u w:val="single"/>
          <w:lang w:val="fr-FR"/>
        </w:rPr>
        <w:t xml:space="preserve">t </w:t>
      </w:r>
      <w:r w:rsidRPr="004004FB">
        <w:rPr>
          <w:u w:val="single"/>
          <w:lang w:val="fr-FR"/>
        </w:rPr>
        <w:t>de Financement</w:t>
      </w:r>
      <w:r>
        <w:rPr>
          <w:rFonts w:cs="Arial"/>
          <w:lang w:val="fr-FR"/>
        </w:rPr>
        <w:t>. Un contrat de prêt, de financement ou de crédit-bail ou tout autre contrat (y compris une ligne de crédit renouvelable) établi par l’Investisseur pour le paiement des produits acquis auprès du fournisseur.</w:t>
      </w:r>
    </w:p>
    <w:p w:rsidR="00C93A4C" w:rsidRPr="00C93A4C" w:rsidRDefault="00C93A4C" w:rsidP="00C93A4C">
      <w:pPr>
        <w:pStyle w:val="BodyText"/>
        <w:tabs>
          <w:tab w:val="right" w:pos="11160"/>
        </w:tabs>
        <w:ind w:right="-360"/>
        <w:rPr>
          <w:sz w:val="12"/>
          <w:szCs w:val="12"/>
        </w:rPr>
      </w:pPr>
    </w:p>
    <w:p w:rsidR="007942B5" w:rsidRPr="00192338" w:rsidRDefault="00192338" w:rsidP="00616258">
      <w:pPr>
        <w:pStyle w:val="Heading1"/>
        <w:tabs>
          <w:tab w:val="right" w:pos="11160"/>
        </w:tabs>
        <w:ind w:right="72"/>
        <w:rPr>
          <w:rFonts w:cs="Arial"/>
          <w:szCs w:val="16"/>
        </w:rPr>
      </w:pPr>
      <w:r w:rsidRPr="00192338">
        <w:rPr>
          <w:rFonts w:cs="Arial"/>
          <w:lang w:val="fr-FR"/>
        </w:rPr>
        <w:t>Paiements</w:t>
      </w:r>
    </w:p>
    <w:p w:rsidR="007942B5" w:rsidRPr="001D23A6" w:rsidRDefault="000C18BC" w:rsidP="00616258">
      <w:pPr>
        <w:tabs>
          <w:tab w:val="right" w:pos="11160"/>
        </w:tabs>
        <w:ind w:right="72"/>
        <w:jc w:val="both"/>
        <w:rPr>
          <w:rFonts w:cs="Arial"/>
          <w:szCs w:val="16"/>
        </w:rPr>
      </w:pPr>
      <w:proofErr w:type="gramStart"/>
      <w:r w:rsidRPr="00F62BD5">
        <w:rPr>
          <w:u w:val="single"/>
        </w:rPr>
        <w:t xml:space="preserve">Obligation de </w:t>
      </w:r>
      <w:r w:rsidRPr="00CD7E06">
        <w:rPr>
          <w:u w:val="single"/>
          <w:lang w:val="fr-FR"/>
        </w:rPr>
        <w:t>paiement</w:t>
      </w:r>
      <w:r w:rsidRPr="00A56B78">
        <w:t>.</w:t>
      </w:r>
      <w:proofErr w:type="gramEnd"/>
      <w:r w:rsidRPr="00A56B78">
        <w:t xml:space="preserve"> </w:t>
      </w:r>
      <w:r w:rsidRPr="00F62BD5">
        <w:rPr>
          <w:lang w:val="fr-FR"/>
        </w:rPr>
        <w:t>Indépendamment des dispositi</w:t>
      </w:r>
      <w:r>
        <w:rPr>
          <w:lang w:val="fr-FR"/>
        </w:rPr>
        <w:t>o</w:t>
      </w:r>
      <w:r w:rsidRPr="00F62BD5">
        <w:rPr>
          <w:lang w:val="fr-FR"/>
        </w:rPr>
        <w:t xml:space="preserve">ns du Contrat </w:t>
      </w:r>
      <w:r>
        <w:rPr>
          <w:lang w:val="fr-FR"/>
        </w:rPr>
        <w:t>de Financement</w:t>
      </w:r>
      <w:r w:rsidRPr="00F62BD5">
        <w:rPr>
          <w:lang w:val="fr-FR"/>
        </w:rPr>
        <w:t xml:space="preserve"> ou de la réalisation dudit Contrat, le Client conserve ses obligations de paiement à l’égard du fournisseur, jusqu’à ce que ce dernier soit intégralement payé.</w:t>
      </w:r>
      <w:r>
        <w:rPr>
          <w:lang w:val="fr-FR"/>
        </w:rPr>
        <w:t xml:space="preserve">  </w:t>
      </w:r>
      <w:r w:rsidRPr="00F62BD5">
        <w:rPr>
          <w:lang w:val="fr-FR"/>
        </w:rPr>
        <w:t>Si l’Investisseur ne paie pas toutes les sommes dues au fournisseur, le Client paiera le solde restant.</w:t>
      </w:r>
      <w:r>
        <w:rPr>
          <w:lang w:val="fr-FR"/>
        </w:rPr>
        <w:t xml:space="preserve">  Le Partenaire reste obligé de payer toutes les redevances à échéance selon les conditions d’origine de la Commande du Partenaire, que le financement du Client ou du Partenaire ait été réalisé ou non.</w:t>
      </w:r>
    </w:p>
    <w:p w:rsidR="00C93A4C" w:rsidRPr="00C93A4C" w:rsidRDefault="00C93A4C" w:rsidP="00C93A4C">
      <w:pPr>
        <w:pStyle w:val="BodyText"/>
        <w:tabs>
          <w:tab w:val="right" w:pos="11160"/>
        </w:tabs>
        <w:ind w:right="-360"/>
        <w:rPr>
          <w:sz w:val="12"/>
          <w:szCs w:val="12"/>
        </w:rPr>
      </w:pPr>
    </w:p>
    <w:p w:rsidR="00BC3C0D" w:rsidRPr="007942B5" w:rsidRDefault="000C18BC" w:rsidP="00616258">
      <w:pPr>
        <w:tabs>
          <w:tab w:val="right" w:pos="11160"/>
        </w:tabs>
        <w:ind w:right="-360"/>
        <w:jc w:val="both"/>
      </w:pPr>
      <w:r w:rsidRPr="00E34C08">
        <w:rPr>
          <w:u w:val="single"/>
          <w:lang w:val="fr-FR"/>
        </w:rPr>
        <w:t>Futures redevances de support</w:t>
      </w:r>
      <w:r>
        <w:rPr>
          <w:lang w:val="fr-FR"/>
        </w:rPr>
        <w:t>. Sauf accord écrit préalable d’Oracle, le Contrat de Financement ne peut pas prévoir de redevances de support futures, lesquelles sont dues à Oracle.  L’Investisseur n’a pas d'intérêt sur ces futures redevances de support.  Si l’Investisseur perçoit de tels paiements, il devra remettre ces sommes à Oracle sans délai.</w:t>
      </w:r>
    </w:p>
    <w:p w:rsidR="00C93A4C" w:rsidRPr="00C93A4C" w:rsidRDefault="00C93A4C" w:rsidP="00C93A4C">
      <w:pPr>
        <w:pStyle w:val="BodyText"/>
        <w:tabs>
          <w:tab w:val="right" w:pos="11160"/>
        </w:tabs>
        <w:ind w:right="-360"/>
        <w:rPr>
          <w:sz w:val="12"/>
          <w:szCs w:val="12"/>
        </w:rPr>
      </w:pPr>
    </w:p>
    <w:p w:rsidR="007942B5" w:rsidRPr="00E01CD2" w:rsidRDefault="000C18BC" w:rsidP="00616258">
      <w:pPr>
        <w:pStyle w:val="Heading1"/>
        <w:tabs>
          <w:tab w:val="right" w:pos="11160"/>
        </w:tabs>
        <w:ind w:right="72"/>
        <w:rPr>
          <w:rFonts w:cs="Arial"/>
          <w:szCs w:val="16"/>
        </w:rPr>
      </w:pPr>
      <w:r w:rsidRPr="00E01CD2">
        <w:rPr>
          <w:lang w:val="fr-FR"/>
        </w:rPr>
        <w:t>Droits et relations</w:t>
      </w:r>
    </w:p>
    <w:p w:rsidR="00BC3C0D" w:rsidRPr="00A558D0" w:rsidRDefault="00E01CD2" w:rsidP="00E01CD2">
      <w:r w:rsidRPr="00F62BD5">
        <w:rPr>
          <w:u w:val="single"/>
          <w:lang w:val="fr-FR"/>
        </w:rPr>
        <w:t>Aucun transfert de droits sans accord</w:t>
      </w:r>
      <w:r>
        <w:rPr>
          <w:lang w:val="fr-FR"/>
        </w:rPr>
        <w:t xml:space="preserve">. Sauf accord écrit contraire d’Oracle, un Contrat de Financement ne peut concéder à l’Investisseur un intérêt ou des droits sur la propriété intellectuelle d’Oracle, ses logiciels concédés sous licence, services, système d’exploitation et logiciels intégrés (ex : </w:t>
      </w:r>
      <w:proofErr w:type="spellStart"/>
      <w:r>
        <w:rPr>
          <w:lang w:val="fr-FR"/>
        </w:rPr>
        <w:t>micrologiciel</w:t>
      </w:r>
      <w:proofErr w:type="spellEnd"/>
      <w:r>
        <w:rPr>
          <w:lang w:val="fr-FR"/>
        </w:rPr>
        <w:t xml:space="preserve">) faisant partie de produits matériels, quelles que soient les conditions mises en place entre le Partenaire (ou son distributeur), l’Investisseur ou le Client.  Tout transfert de droits requiert l’accord d’Oracle, lequel prendra la forme d’une lettre distincte envoyée par Oracle.  Lorsque le Contrat de Financement est un bail, cet accord est requis pour permettre à l’Investisseur de laisser en crédit-bail tout logiciel (y compris le système d’exploitation et les logiciels intégrés faisant partie du matériel).  Sans l’accord d’Oracle, le Partenaire (ou son distributeur) ne peut accepter aucun transfert.  Le formulaire est disponible sur </w:t>
      </w:r>
      <w:r w:rsidR="00F02623">
        <w:fldChar w:fldCharType="begin"/>
      </w:r>
      <w:r w:rsidR="00F02623">
        <w:instrText>HYPERLINK "http://www.oracle.com/contracts"</w:instrText>
      </w:r>
      <w:r w:rsidR="00F02623">
        <w:fldChar w:fldCharType="separate"/>
      </w:r>
      <w:r w:rsidR="008723E1" w:rsidRPr="00B12970">
        <w:rPr>
          <w:rStyle w:val="Hyperlink"/>
          <w:rFonts w:cs="Arial"/>
          <w:szCs w:val="16"/>
          <w:lang w:val="fr-FR"/>
        </w:rPr>
        <w:t>http://www.oracle.com/contracts</w:t>
      </w:r>
      <w:r w:rsidR="00F02623">
        <w:fldChar w:fldCharType="end"/>
      </w:r>
      <w:r w:rsidR="00192338">
        <w:rPr>
          <w:rFonts w:cs="Arial"/>
          <w:szCs w:val="16"/>
          <w:lang w:val="fr-FR"/>
        </w:rPr>
        <w:t xml:space="preserve">. </w:t>
      </w:r>
      <w:r>
        <w:t xml:space="preserve"> </w:t>
      </w:r>
      <w:r>
        <w:rPr>
          <w:lang w:val="fr-FR"/>
        </w:rPr>
        <w:t xml:space="preserve">L’Investisseur ne disposera que des droits prévus dans ce formulaire de consentement, sous réserve qu’il soit signé par Oracle.  </w:t>
      </w:r>
      <w:r>
        <w:rPr>
          <w:rFonts w:cs="Arial"/>
          <w:lang w:val="fr-FR"/>
        </w:rPr>
        <w:t>Tous les droits dont bénéficie l’Investisseur sont régis par cette note et les conditions de la Commande, y compris toutes dispositions relatives à la licence et à la conformité en matière d’exportation.</w:t>
      </w:r>
    </w:p>
    <w:p w:rsidR="00C93A4C" w:rsidRPr="00C93A4C" w:rsidRDefault="00C93A4C" w:rsidP="00C93A4C">
      <w:pPr>
        <w:pStyle w:val="BodyText"/>
        <w:tabs>
          <w:tab w:val="right" w:pos="11160"/>
        </w:tabs>
        <w:ind w:right="-360"/>
        <w:rPr>
          <w:sz w:val="12"/>
          <w:szCs w:val="12"/>
        </w:rPr>
      </w:pPr>
    </w:p>
    <w:p w:rsidR="007942B5" w:rsidRPr="001D23A6" w:rsidRDefault="00E01CD2" w:rsidP="00E01CD2">
      <w:pPr>
        <w:rPr>
          <w:szCs w:val="16"/>
        </w:rPr>
      </w:pPr>
      <w:r>
        <w:rPr>
          <w:lang w:val="fr-FR"/>
        </w:rPr>
        <w:t>Les droits transférés à l’Investisseur, y compris (i) une sûreté ou un gage consenti(e) par le Partenaire (ou son distributeur) ou le Client sur leurs droits de licence, ou (ii) les droits obtenus par le biais du paiement par l’Investisseur des redevances dues au fournisseur, ne comprennent pas :</w:t>
      </w:r>
      <w:r w:rsidR="007942B5" w:rsidRPr="001D23A6">
        <w:rPr>
          <w:szCs w:val="16"/>
        </w:rPr>
        <w:t xml:space="preserve">  </w:t>
      </w:r>
    </w:p>
    <w:p w:rsidR="00966B5B" w:rsidRDefault="007942B5">
      <w:pPr>
        <w:pStyle w:val="BodyText"/>
        <w:tabs>
          <w:tab w:val="right" w:pos="11160"/>
        </w:tabs>
        <w:ind w:left="540" w:right="72" w:hanging="270"/>
        <w:rPr>
          <w:rFonts w:cs="Arial"/>
          <w:sz w:val="16"/>
          <w:szCs w:val="16"/>
        </w:rPr>
      </w:pPr>
      <w:r w:rsidRPr="001D23A6">
        <w:rPr>
          <w:rFonts w:cs="Arial"/>
          <w:sz w:val="16"/>
          <w:szCs w:val="16"/>
        </w:rPr>
        <w:t>(a)</w:t>
      </w:r>
      <w:r w:rsidRPr="00E01CD2">
        <w:rPr>
          <w:rFonts w:cs="Arial"/>
          <w:sz w:val="16"/>
          <w:szCs w:val="16"/>
        </w:rPr>
        <w:t xml:space="preserve"> </w:t>
      </w:r>
      <w:proofErr w:type="gramStart"/>
      <w:r w:rsidR="00E01CD2" w:rsidRPr="00E01CD2">
        <w:rPr>
          <w:sz w:val="16"/>
          <w:szCs w:val="16"/>
          <w:lang w:val="fr-FR"/>
        </w:rPr>
        <w:t>la</w:t>
      </w:r>
      <w:proofErr w:type="gramEnd"/>
      <w:r w:rsidR="00E01CD2" w:rsidRPr="00E01CD2">
        <w:rPr>
          <w:sz w:val="16"/>
          <w:szCs w:val="16"/>
          <w:lang w:val="fr-FR"/>
        </w:rPr>
        <w:t xml:space="preserve"> cession de titres, propriété, sous-licence ou sûreté sur les droits de propriété intellectuelle concédés sous licence ou sur le logiciel de système d’exploitation et les logiciels intégrés (ex : </w:t>
      </w:r>
      <w:proofErr w:type="spellStart"/>
      <w:r w:rsidR="00E01CD2" w:rsidRPr="00E01CD2">
        <w:rPr>
          <w:sz w:val="16"/>
          <w:szCs w:val="16"/>
          <w:lang w:val="fr-FR"/>
        </w:rPr>
        <w:t>micrologiciel</w:t>
      </w:r>
      <w:proofErr w:type="spellEnd"/>
      <w:r w:rsidR="00E01CD2" w:rsidRPr="00E01CD2">
        <w:rPr>
          <w:sz w:val="16"/>
          <w:szCs w:val="16"/>
          <w:lang w:val="fr-FR"/>
        </w:rPr>
        <w:t>) faisant partie du matériel.</w:t>
      </w:r>
      <w:r w:rsidRPr="00E01CD2">
        <w:rPr>
          <w:rFonts w:cs="Arial"/>
          <w:sz w:val="16"/>
          <w:szCs w:val="16"/>
        </w:rPr>
        <w:t xml:space="preserve"> </w:t>
      </w:r>
    </w:p>
    <w:p w:rsidR="009258B6" w:rsidRDefault="007942B5" w:rsidP="00E01CD2">
      <w:pPr>
        <w:pStyle w:val="BodyText"/>
        <w:tabs>
          <w:tab w:val="right" w:pos="11160"/>
        </w:tabs>
        <w:ind w:left="540" w:right="72" w:hanging="270"/>
        <w:rPr>
          <w:sz w:val="16"/>
          <w:szCs w:val="16"/>
          <w:lang w:val="fr-FR"/>
        </w:rPr>
      </w:pPr>
      <w:r w:rsidRPr="00603158">
        <w:rPr>
          <w:rFonts w:cs="Arial"/>
          <w:sz w:val="16"/>
          <w:szCs w:val="16"/>
          <w:lang w:val="es-CO"/>
        </w:rPr>
        <w:t xml:space="preserve">(b) </w:t>
      </w:r>
      <w:r w:rsidR="00E01CD2" w:rsidRPr="00E01CD2">
        <w:rPr>
          <w:sz w:val="16"/>
          <w:szCs w:val="16"/>
          <w:lang w:val="fr-FR"/>
        </w:rPr>
        <w:t>l’octroi à l’Investisseur (ou à tout autre tiers) du droit d’utiliser, de copier, de transférer, de concéder une nouvelle licence ou de commercialiser à nouveau les licences, le système d’exploitation ou les logiciels intégrés (</w:t>
      </w:r>
      <w:proofErr w:type="gramStart"/>
      <w:r w:rsidR="00E01CD2" w:rsidRPr="00E01CD2">
        <w:rPr>
          <w:sz w:val="16"/>
          <w:szCs w:val="16"/>
          <w:lang w:val="fr-FR"/>
        </w:rPr>
        <w:t>ex :</w:t>
      </w:r>
      <w:proofErr w:type="gramEnd"/>
      <w:r w:rsidR="00E01CD2" w:rsidRPr="00E01CD2">
        <w:rPr>
          <w:sz w:val="16"/>
          <w:szCs w:val="16"/>
          <w:lang w:val="fr-FR"/>
        </w:rPr>
        <w:t xml:space="preserve"> </w:t>
      </w:r>
      <w:proofErr w:type="spellStart"/>
      <w:r w:rsidR="00E01CD2" w:rsidRPr="00E01CD2">
        <w:rPr>
          <w:sz w:val="16"/>
          <w:szCs w:val="16"/>
          <w:lang w:val="fr-FR"/>
        </w:rPr>
        <w:t>micrologiciel</w:t>
      </w:r>
      <w:proofErr w:type="spellEnd"/>
      <w:r w:rsidR="00E01CD2" w:rsidRPr="00E01CD2">
        <w:rPr>
          <w:sz w:val="16"/>
          <w:szCs w:val="16"/>
          <w:lang w:val="fr-FR"/>
        </w:rPr>
        <w:t>) faisant partie du matériel, ni le droit de recevoir ou de réallouer les services à quelque fin que ce soit (y compris la limitation des dommages), ou</w:t>
      </w:r>
    </w:p>
    <w:p w:rsidR="00E01CD2" w:rsidRPr="00E01CD2" w:rsidRDefault="00E01CD2" w:rsidP="00E01CD2">
      <w:pPr>
        <w:pStyle w:val="BodyText"/>
        <w:tabs>
          <w:tab w:val="right" w:pos="11160"/>
        </w:tabs>
        <w:ind w:left="540" w:right="72" w:hanging="270"/>
        <w:rPr>
          <w:rFonts w:cs="Arial"/>
          <w:sz w:val="16"/>
          <w:szCs w:val="16"/>
        </w:rPr>
      </w:pPr>
      <w:r w:rsidRPr="00E01CD2">
        <w:rPr>
          <w:sz w:val="16"/>
          <w:szCs w:val="16"/>
          <w:lang w:val="fr-FR"/>
        </w:rPr>
        <w:t>(c) tout intérêt sur des produits et services (ou les redevances correspondantes) qui ne sont pas régis par le Contrat de Financement (ex : les redevances de conseil) ; si l’Investisseur collecte ou perçoit de tels paiements, il s’engage à remettre sans délai toutes les sommes reçues à Oracle.</w:t>
      </w:r>
    </w:p>
    <w:p w:rsidR="008723E1" w:rsidRPr="00C93A4C" w:rsidRDefault="008723E1" w:rsidP="008723E1">
      <w:pPr>
        <w:pStyle w:val="BodyText"/>
        <w:tabs>
          <w:tab w:val="right" w:pos="11160"/>
        </w:tabs>
        <w:ind w:right="-360"/>
        <w:rPr>
          <w:sz w:val="12"/>
          <w:szCs w:val="12"/>
        </w:rPr>
      </w:pPr>
    </w:p>
    <w:p w:rsidR="00BC3C0D" w:rsidRDefault="00E01CD2" w:rsidP="00616258">
      <w:pPr>
        <w:pStyle w:val="BodyText2"/>
        <w:tabs>
          <w:tab w:val="right" w:pos="11160"/>
        </w:tabs>
        <w:ind w:right="-360"/>
      </w:pPr>
      <w:r w:rsidRPr="00CE7CDA">
        <w:rPr>
          <w:u w:val="single"/>
          <w:lang w:val="fr-FR"/>
        </w:rPr>
        <w:t>Accords distincts</w:t>
      </w:r>
      <w:r>
        <w:rPr>
          <w:lang w:val="fr-FR"/>
        </w:rPr>
        <w:t>.</w:t>
      </w:r>
      <w:r w:rsidR="007942B5" w:rsidRPr="001D23A6">
        <w:rPr>
          <w:rFonts w:cs="Arial"/>
          <w:szCs w:val="16"/>
        </w:rPr>
        <w:t xml:space="preserve">  </w:t>
      </w:r>
      <w:r>
        <w:rPr>
          <w:lang w:val="fr-FR"/>
        </w:rPr>
        <w:t>La Commande, la Commande du Partenaire et le Contrat de Financement sont des accords distincts et créent des relations contractuelles distinctes, qui n’affectent pas les dispositions ou parties de l’autre contrat.  Oracle exclut toute obligation à l’égard d’une partie qui ne serait pas prévue dans la Commande (et le cas échéant, la Commande du Partenaire), y compris les obligations relatives aux litiges, au risque de résiliation ou à tout défaut de paiement du Client, pour quelque raison que ce soit).</w:t>
      </w:r>
      <w:r w:rsidR="00BC3C0D">
        <w:t xml:space="preserve">  </w:t>
      </w:r>
    </w:p>
    <w:p w:rsidR="008723E1" w:rsidRPr="00C93A4C" w:rsidRDefault="008723E1" w:rsidP="008723E1">
      <w:pPr>
        <w:pStyle w:val="BodyText"/>
        <w:tabs>
          <w:tab w:val="right" w:pos="11160"/>
        </w:tabs>
        <w:ind w:right="-360"/>
        <w:rPr>
          <w:sz w:val="12"/>
          <w:szCs w:val="12"/>
        </w:rPr>
      </w:pPr>
    </w:p>
    <w:p w:rsidR="00BC3C0D" w:rsidRPr="00603158" w:rsidRDefault="00E01CD2" w:rsidP="00616258">
      <w:pPr>
        <w:pStyle w:val="BodyText2"/>
        <w:tabs>
          <w:tab w:val="right" w:pos="11160"/>
        </w:tabs>
        <w:ind w:right="-360"/>
        <w:rPr>
          <w:lang w:val="es-CO"/>
        </w:rPr>
      </w:pPr>
      <w:r>
        <w:rPr>
          <w:lang w:val="fr-FR"/>
        </w:rPr>
        <w:t>Aucun contrat n’impose d’obligations, de limitations, de responsabilités ou d’avantages aux parties n’ayant pas signé ces contrats.</w:t>
      </w:r>
      <w:r w:rsidR="00064C67">
        <w:rPr>
          <w:lang w:val="fr-FR"/>
        </w:rPr>
        <w:t xml:space="preserve">  </w:t>
      </w:r>
      <w:r w:rsidR="00192338" w:rsidRPr="00B610AF">
        <w:rPr>
          <w:lang w:val="fr-FR"/>
        </w:rPr>
        <w:t xml:space="preserve">En cas </w:t>
      </w:r>
      <w:r w:rsidR="00192338">
        <w:rPr>
          <w:lang w:val="fr-FR"/>
        </w:rPr>
        <w:t xml:space="preserve">de défaillance ou d’annulation en vertu d’un contrat, chaque partie a le droit d’exercer indépendamment ses recours et d’exécuter ses obligations au titre de son contrat.  Oracle n’est pas </w:t>
      </w:r>
      <w:proofErr w:type="gramStart"/>
      <w:r w:rsidR="00192338">
        <w:rPr>
          <w:lang w:val="fr-FR"/>
        </w:rPr>
        <w:t>obligée</w:t>
      </w:r>
      <w:proofErr w:type="gramEnd"/>
      <w:r w:rsidR="00192338">
        <w:rPr>
          <w:lang w:val="fr-FR"/>
        </w:rPr>
        <w:t xml:space="preserve"> d’assister l’Investisseur dans l’exercice de ses recours.  L’Investisseur n’est pas partie à l’opération de fourniture et n’obtient aucun droit sur les redevances dues à Oracle au titre de la distribution de ses produits et services.  Oracle, en tant que titulaire des droits de propriété intellectuelle, est un tiers bénéficiaire de toute commande entre le Partenaire et le Client mais elle n’assume aucune des obligations du Partenaire à ce titre.  Aucun autre document sur le sujet, tel que l’accord de l’Investisseur concernant les transferts de crédit-bail ou de licence, n’engagera Oracle ou ne lui imposera des obligations.  Oracle n’est pas </w:t>
      </w:r>
      <w:proofErr w:type="gramStart"/>
      <w:r w:rsidR="00192338">
        <w:rPr>
          <w:lang w:val="fr-FR"/>
        </w:rPr>
        <w:t>obligée</w:t>
      </w:r>
      <w:proofErr w:type="gramEnd"/>
      <w:r w:rsidR="00192338">
        <w:rPr>
          <w:lang w:val="fr-FR"/>
        </w:rPr>
        <w:t xml:space="preserve"> de revoir le Contrat de Financement et ne donne aucun conseil sur la façon dont la transaction doit être caractérisée.</w:t>
      </w:r>
    </w:p>
    <w:p w:rsidR="008723E1" w:rsidRPr="00603158" w:rsidRDefault="008723E1" w:rsidP="008723E1">
      <w:pPr>
        <w:pStyle w:val="BodyText"/>
        <w:tabs>
          <w:tab w:val="right" w:pos="11160"/>
        </w:tabs>
        <w:ind w:right="-360"/>
        <w:rPr>
          <w:sz w:val="12"/>
          <w:szCs w:val="12"/>
          <w:lang w:val="es-CO"/>
        </w:rPr>
      </w:pPr>
    </w:p>
    <w:p w:rsidR="007942B5" w:rsidRDefault="00064C67" w:rsidP="00616258">
      <w:pPr>
        <w:pStyle w:val="BodyText2"/>
        <w:tabs>
          <w:tab w:val="right" w:pos="11160"/>
        </w:tabs>
        <w:ind w:right="72"/>
        <w:rPr>
          <w:rFonts w:cs="Arial"/>
          <w:b/>
          <w:bCs/>
          <w:szCs w:val="16"/>
        </w:rPr>
      </w:pPr>
      <w:r w:rsidRPr="00B610AF">
        <w:rPr>
          <w:b/>
          <w:lang w:val="fr-FR"/>
        </w:rPr>
        <w:t>Confirmation</w:t>
      </w:r>
    </w:p>
    <w:p w:rsidR="00BC3C0D" w:rsidRDefault="00064C67" w:rsidP="00616258">
      <w:pPr>
        <w:pStyle w:val="BodyText2"/>
        <w:tabs>
          <w:tab w:val="right" w:pos="11160"/>
        </w:tabs>
        <w:ind w:right="-360"/>
      </w:pPr>
      <w:r>
        <w:rPr>
          <w:lang w:val="fr-FR"/>
        </w:rPr>
        <w:t xml:space="preserve">Lorsque les sommes dues au fournisseur sont régies par des conditions de financement ou de crédit-bail, les parties au Contrat de Financement doivent donner confirmation à Oracle via le formulaire disponible sur </w:t>
      </w:r>
      <w:hyperlink r:id="rId6" w:history="1">
        <w:r w:rsidR="008723E1" w:rsidRPr="00B12970">
          <w:rPr>
            <w:rStyle w:val="Hyperlink"/>
            <w:rFonts w:cs="Arial"/>
            <w:szCs w:val="16"/>
            <w:lang w:val="fr-FR"/>
          </w:rPr>
          <w:t>http://www.oracle.com/contracts</w:t>
        </w:r>
      </w:hyperlink>
      <w:r>
        <w:rPr>
          <w:rFonts w:cs="Arial"/>
          <w:bCs/>
          <w:szCs w:val="16"/>
          <w:lang w:val="fr-FR"/>
        </w:rPr>
        <w:t xml:space="preserve"> et remettre cette lettre au responsable de compte du Client.</w:t>
      </w:r>
      <w:r>
        <w:rPr>
          <w:lang w:val="fr-FR"/>
        </w:rPr>
        <w:t xml:space="preserve">  Le Partenaire remettra une copie de cette note aux parties au Contrat de Financement.</w:t>
      </w:r>
    </w:p>
    <w:p w:rsidR="008723E1" w:rsidRPr="00C93A4C" w:rsidRDefault="008723E1" w:rsidP="008723E1">
      <w:pPr>
        <w:pStyle w:val="BodyText"/>
        <w:tabs>
          <w:tab w:val="right" w:pos="11160"/>
        </w:tabs>
        <w:ind w:right="-360"/>
        <w:rPr>
          <w:sz w:val="12"/>
          <w:szCs w:val="12"/>
        </w:rPr>
      </w:pPr>
    </w:p>
    <w:p w:rsidR="007942B5" w:rsidRPr="00064C67" w:rsidRDefault="00064C67" w:rsidP="00616258">
      <w:pPr>
        <w:pStyle w:val="Heading1"/>
        <w:tabs>
          <w:tab w:val="left" w:pos="216"/>
          <w:tab w:val="right" w:pos="11160"/>
        </w:tabs>
        <w:ind w:right="72"/>
        <w:rPr>
          <w:rFonts w:cs="Arial"/>
          <w:szCs w:val="16"/>
        </w:rPr>
      </w:pPr>
      <w:r w:rsidRPr="00064C67">
        <w:rPr>
          <w:lang w:val="fr-FR"/>
        </w:rPr>
        <w:lastRenderedPageBreak/>
        <w:t>Paiement, facturation et taxes</w:t>
      </w:r>
    </w:p>
    <w:p w:rsidR="00426A13" w:rsidRPr="00064C67" w:rsidRDefault="00064C67" w:rsidP="00426A13">
      <w:pPr>
        <w:pStyle w:val="Heading1"/>
        <w:keepNext w:val="0"/>
        <w:tabs>
          <w:tab w:val="left" w:pos="216"/>
          <w:tab w:val="right" w:pos="11160"/>
        </w:tabs>
        <w:ind w:right="-360"/>
        <w:rPr>
          <w:b w:val="0"/>
        </w:rPr>
      </w:pPr>
      <w:r w:rsidRPr="00064C67">
        <w:rPr>
          <w:b w:val="0"/>
          <w:u w:val="single"/>
          <w:lang w:val="fr-FR"/>
        </w:rPr>
        <w:t>Paiement et factures</w:t>
      </w:r>
      <w:r w:rsidRPr="00064C67">
        <w:rPr>
          <w:b w:val="0"/>
          <w:lang w:val="fr-FR"/>
        </w:rPr>
        <w:t>. Oracle a pour pratique de recevoir un bon de commande du Client (et, le cas échéant, du Partenaire) mentionnant l’intégralité des sommes dues à Oracle.</w:t>
      </w:r>
      <w:r>
        <w:rPr>
          <w:b w:val="0"/>
          <w:lang w:val="fr-FR"/>
        </w:rPr>
        <w:t xml:space="preserve">  </w:t>
      </w:r>
      <w:r w:rsidRPr="00064C67">
        <w:rPr>
          <w:b w:val="0"/>
        </w:rPr>
        <w:t>Oracle a également pour pratique de facturer au Client (et le cas échéant, au Partenaire) les sommes dues à Oracle ainsi que toutes les taxes applicables, sauf si les documents requis en application des Politiques de Financement par un Tiers d’Oracle ont été remis à Oracle.</w:t>
      </w:r>
      <w:r>
        <w:rPr>
          <w:b w:val="0"/>
        </w:rPr>
        <w:t xml:space="preserve"> </w:t>
      </w:r>
      <w:r w:rsidRPr="00064C67">
        <w:rPr>
          <w:b w:val="0"/>
        </w:rPr>
        <w:t xml:space="preserve"> </w:t>
      </w:r>
      <w:r w:rsidRPr="00064C67">
        <w:rPr>
          <w:b w:val="0"/>
          <w:lang w:val="fr-FR"/>
        </w:rPr>
        <w:t>Le Client (et, le cas échéant, le Partenaire) reste redevable de toutes taxes dues et, si l’Investisseur ne paie pas ces taxes, le Client (et, le cas échéant, le Partenaire) paiera dans les délais toutes taxes dues en vertu de la commande applicable.</w:t>
      </w:r>
    </w:p>
    <w:sectPr w:rsidR="00426A13" w:rsidRPr="00064C67" w:rsidSect="00426A13">
      <w:footerReference w:type="default" r:id="rId7"/>
      <w:pgSz w:w="12240" w:h="15840"/>
      <w:pgMar w:top="720" w:right="1008" w:bottom="630" w:left="720" w:header="540" w:footer="312" w:gutter="0"/>
      <w:cols w:space="72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2A0542" w:rsidRDefault="002A0542">
      <w:r>
        <w:separator/>
      </w:r>
    </w:p>
  </w:endnote>
  <w:endnote w:type="continuationSeparator" w:id="0">
    <w:p w:rsidR="002A0542" w:rsidRDefault="002A0542">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10002FF" w:usb1="4000ACFF" w:usb2="00000009"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D2D6C" w:rsidRDefault="00BC3C0D">
    <w:pPr>
      <w:pStyle w:val="Footer"/>
      <w:tabs>
        <w:tab w:val="clear" w:pos="8640"/>
        <w:tab w:val="right" w:pos="10800"/>
      </w:tabs>
      <w:rPr>
        <w:sz w:val="14"/>
      </w:rPr>
    </w:pPr>
    <w:r>
      <w:rPr>
        <w:sz w:val="14"/>
      </w:rPr>
      <w:t>Third-P</w:t>
    </w:r>
    <w:r w:rsidR="004D2D6C">
      <w:rPr>
        <w:sz w:val="14"/>
      </w:rPr>
      <w:t>arty Financing Notice: End-user</w:t>
    </w:r>
    <w:r w:rsidR="00064C67">
      <w:rPr>
        <w:sz w:val="14"/>
      </w:rPr>
      <w:t xml:space="preserve"> (French)</w:t>
    </w:r>
    <w:r>
      <w:rPr>
        <w:sz w:val="14"/>
      </w:rPr>
      <w:tab/>
    </w:r>
    <w:r>
      <w:rPr>
        <w:sz w:val="14"/>
      </w:rPr>
      <w:tab/>
      <w:t>Oracle Corporation</w:t>
    </w:r>
  </w:p>
  <w:p w:rsidR="003F7F5E" w:rsidRDefault="00BE2276">
    <w:pPr>
      <w:pStyle w:val="Footer"/>
      <w:tabs>
        <w:tab w:val="clear" w:pos="8640"/>
        <w:tab w:val="right" w:pos="10800"/>
      </w:tabs>
      <w:rPr>
        <w:sz w:val="14"/>
      </w:rPr>
    </w:pPr>
    <w:r>
      <w:rPr>
        <w:sz w:val="14"/>
      </w:rPr>
      <w:t>March 17, 2014</w:t>
    </w:r>
    <w:r w:rsidR="004D2D6C">
      <w:rPr>
        <w:sz w:val="14"/>
      </w:rPr>
      <w:tab/>
    </w:r>
    <w:r w:rsidR="004D2D6C">
      <w:rPr>
        <w:sz w:val="14"/>
      </w:rPr>
      <w:tab/>
    </w:r>
    <w:r w:rsidR="00426A13" w:rsidRPr="00426A13">
      <w:rPr>
        <w:rFonts w:cs="Arial"/>
        <w:sz w:val="14"/>
        <w:szCs w:val="14"/>
      </w:rPr>
      <w:t xml:space="preserve">Page </w:t>
    </w:r>
    <w:r w:rsidR="00F02623" w:rsidRPr="00426A13">
      <w:rPr>
        <w:rFonts w:cs="Arial"/>
        <w:sz w:val="14"/>
        <w:szCs w:val="14"/>
      </w:rPr>
      <w:fldChar w:fldCharType="begin"/>
    </w:r>
    <w:r w:rsidR="00426A13" w:rsidRPr="00426A13">
      <w:rPr>
        <w:rFonts w:cs="Arial"/>
        <w:sz w:val="14"/>
        <w:szCs w:val="14"/>
      </w:rPr>
      <w:instrText xml:space="preserve"> PAGE </w:instrText>
    </w:r>
    <w:r w:rsidR="00F02623" w:rsidRPr="00426A13">
      <w:rPr>
        <w:rFonts w:cs="Arial"/>
        <w:sz w:val="14"/>
        <w:szCs w:val="14"/>
      </w:rPr>
      <w:fldChar w:fldCharType="separate"/>
    </w:r>
    <w:r w:rsidR="00C673DC">
      <w:rPr>
        <w:rFonts w:cs="Arial"/>
        <w:noProof/>
        <w:sz w:val="14"/>
        <w:szCs w:val="14"/>
      </w:rPr>
      <w:t>1</w:t>
    </w:r>
    <w:r w:rsidR="00F02623" w:rsidRPr="00426A13">
      <w:rPr>
        <w:rFonts w:cs="Arial"/>
        <w:sz w:val="14"/>
        <w:szCs w:val="14"/>
      </w:rPr>
      <w:fldChar w:fldCharType="end"/>
    </w:r>
    <w:r w:rsidR="00426A13" w:rsidRPr="00426A13">
      <w:rPr>
        <w:rFonts w:cs="Arial"/>
        <w:sz w:val="14"/>
        <w:szCs w:val="14"/>
      </w:rPr>
      <w:t xml:space="preserve"> of </w:t>
    </w:r>
    <w:r w:rsidR="00F02623" w:rsidRPr="00426A13">
      <w:rPr>
        <w:rFonts w:cs="Arial"/>
        <w:sz w:val="14"/>
        <w:szCs w:val="14"/>
      </w:rPr>
      <w:fldChar w:fldCharType="begin"/>
    </w:r>
    <w:r w:rsidR="00426A13" w:rsidRPr="00426A13">
      <w:rPr>
        <w:rFonts w:cs="Arial"/>
        <w:sz w:val="14"/>
        <w:szCs w:val="14"/>
      </w:rPr>
      <w:instrText xml:space="preserve"> NUMPAGES  </w:instrText>
    </w:r>
    <w:r w:rsidR="00F02623" w:rsidRPr="00426A13">
      <w:rPr>
        <w:rFonts w:cs="Arial"/>
        <w:sz w:val="14"/>
        <w:szCs w:val="14"/>
      </w:rPr>
      <w:fldChar w:fldCharType="separate"/>
    </w:r>
    <w:r w:rsidR="00C673DC">
      <w:rPr>
        <w:rFonts w:cs="Arial"/>
        <w:noProof/>
        <w:sz w:val="14"/>
        <w:szCs w:val="14"/>
      </w:rPr>
      <w:t>2</w:t>
    </w:r>
    <w:r w:rsidR="00F02623" w:rsidRPr="00426A13">
      <w:rPr>
        <w:rFonts w:cs="Arial"/>
        <w:sz w:val="14"/>
        <w:szCs w:val="14"/>
      </w:rPr>
      <w:fldChar w:fldCharType="end"/>
    </w:r>
    <w:r w:rsidR="00753349">
      <w:rPr>
        <w:sz w:val="14"/>
      </w:rPr>
      <w:tab/>
    </w:r>
    <w:r w:rsidR="00753349">
      <w:rPr>
        <w:sz w:val="14"/>
      </w:rPr>
      <w:tab/>
    </w:r>
    <w:r w:rsidR="00753349">
      <w:rPr>
        <w:sz w:val="14"/>
      </w:rPr>
      <w:tab/>
    </w:r>
    <w:r w:rsidR="00753349">
      <w:rPr>
        <w:sz w:val="14"/>
      </w:rPr>
      <w:tab/>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2A0542" w:rsidRDefault="002A0542">
      <w:r>
        <w:separator/>
      </w:r>
    </w:p>
  </w:footnote>
  <w:footnote w:type="continuationSeparator" w:id="0">
    <w:p w:rsidR="002A0542" w:rsidRDefault="002A0542">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val="bestFit" w:percent="84"/>
  <w:proofState w:spelling="clean" w:grammar="clean"/>
  <w:revisionView w:markup="0"/>
  <w:documentProtection w:edit="readOnly" w:enforcement="1" w:cryptProviderType="rsaFull" w:cryptAlgorithmClass="hash" w:cryptAlgorithmType="typeAny" w:cryptAlgorithmSid="4" w:cryptSpinCount="100000" w:hash="nTtwKisz52+P3UW8q8UsnbPvWbA=" w:salt="1UxlEd1FCQ7U613F37kxSQ=="/>
  <w:defaultTabStop w:val="720"/>
  <w:noPunctuationKerning/>
  <w:characterSpacingControl w:val="doNotCompress"/>
  <w:footnotePr>
    <w:footnote w:id="-1"/>
    <w:footnote w:id="0"/>
  </w:footnotePr>
  <w:endnotePr>
    <w:endnote w:id="-1"/>
    <w:endnote w:id="0"/>
  </w:endnotePr>
  <w:compat/>
  <w:rsids>
    <w:rsidRoot w:val="00F231C6"/>
    <w:rsid w:val="0000442F"/>
    <w:rsid w:val="0000622F"/>
    <w:rsid w:val="00032581"/>
    <w:rsid w:val="00037388"/>
    <w:rsid w:val="00064C67"/>
    <w:rsid w:val="00073E59"/>
    <w:rsid w:val="000C1784"/>
    <w:rsid w:val="000C18BC"/>
    <w:rsid w:val="000C7194"/>
    <w:rsid w:val="000E19A8"/>
    <w:rsid w:val="000E221C"/>
    <w:rsid w:val="000F044E"/>
    <w:rsid w:val="000F7A07"/>
    <w:rsid w:val="00140CB0"/>
    <w:rsid w:val="00143355"/>
    <w:rsid w:val="00152C84"/>
    <w:rsid w:val="00176935"/>
    <w:rsid w:val="001803D0"/>
    <w:rsid w:val="00187803"/>
    <w:rsid w:val="00192338"/>
    <w:rsid w:val="001B69A6"/>
    <w:rsid w:val="001E2863"/>
    <w:rsid w:val="001F64A3"/>
    <w:rsid w:val="002225A9"/>
    <w:rsid w:val="002332B5"/>
    <w:rsid w:val="00274F9D"/>
    <w:rsid w:val="00275C10"/>
    <w:rsid w:val="00285467"/>
    <w:rsid w:val="0029042B"/>
    <w:rsid w:val="002A0542"/>
    <w:rsid w:val="002D26DE"/>
    <w:rsid w:val="002D396A"/>
    <w:rsid w:val="002F6FF0"/>
    <w:rsid w:val="0031576F"/>
    <w:rsid w:val="0032444A"/>
    <w:rsid w:val="00332028"/>
    <w:rsid w:val="003337B0"/>
    <w:rsid w:val="00342D11"/>
    <w:rsid w:val="003441C7"/>
    <w:rsid w:val="00352793"/>
    <w:rsid w:val="00360332"/>
    <w:rsid w:val="003A7FEE"/>
    <w:rsid w:val="003F7F5E"/>
    <w:rsid w:val="004045C2"/>
    <w:rsid w:val="004061B1"/>
    <w:rsid w:val="00412163"/>
    <w:rsid w:val="00426A13"/>
    <w:rsid w:val="00465CCA"/>
    <w:rsid w:val="00467572"/>
    <w:rsid w:val="004D2D6C"/>
    <w:rsid w:val="004F5798"/>
    <w:rsid w:val="00521CF2"/>
    <w:rsid w:val="00526EE2"/>
    <w:rsid w:val="005306C6"/>
    <w:rsid w:val="00534DF4"/>
    <w:rsid w:val="00542732"/>
    <w:rsid w:val="005571BB"/>
    <w:rsid w:val="005606B2"/>
    <w:rsid w:val="005764F8"/>
    <w:rsid w:val="005775A4"/>
    <w:rsid w:val="0059100C"/>
    <w:rsid w:val="005A3126"/>
    <w:rsid w:val="005A3585"/>
    <w:rsid w:val="005A7070"/>
    <w:rsid w:val="005F7059"/>
    <w:rsid w:val="00603158"/>
    <w:rsid w:val="006148FA"/>
    <w:rsid w:val="00616258"/>
    <w:rsid w:val="00637176"/>
    <w:rsid w:val="006C480A"/>
    <w:rsid w:val="006E5DF7"/>
    <w:rsid w:val="0070180F"/>
    <w:rsid w:val="00753349"/>
    <w:rsid w:val="00783F54"/>
    <w:rsid w:val="007942B5"/>
    <w:rsid w:val="007A7A14"/>
    <w:rsid w:val="007B71D7"/>
    <w:rsid w:val="007D1EDF"/>
    <w:rsid w:val="0082194B"/>
    <w:rsid w:val="00836932"/>
    <w:rsid w:val="008723E1"/>
    <w:rsid w:val="00873BAC"/>
    <w:rsid w:val="00882176"/>
    <w:rsid w:val="0088505A"/>
    <w:rsid w:val="009258B6"/>
    <w:rsid w:val="00966B5B"/>
    <w:rsid w:val="009B34B7"/>
    <w:rsid w:val="009C3836"/>
    <w:rsid w:val="009D2CC5"/>
    <w:rsid w:val="00A023AE"/>
    <w:rsid w:val="00A1695F"/>
    <w:rsid w:val="00A54712"/>
    <w:rsid w:val="00A558D0"/>
    <w:rsid w:val="00A77854"/>
    <w:rsid w:val="00A9110B"/>
    <w:rsid w:val="00AA453C"/>
    <w:rsid w:val="00AC2959"/>
    <w:rsid w:val="00AE3166"/>
    <w:rsid w:val="00AF7A1B"/>
    <w:rsid w:val="00B24EF0"/>
    <w:rsid w:val="00B32653"/>
    <w:rsid w:val="00B55EA4"/>
    <w:rsid w:val="00B6646A"/>
    <w:rsid w:val="00B771A5"/>
    <w:rsid w:val="00B81E17"/>
    <w:rsid w:val="00BA7D3F"/>
    <w:rsid w:val="00BC3C0D"/>
    <w:rsid w:val="00BD1015"/>
    <w:rsid w:val="00BE2276"/>
    <w:rsid w:val="00C0793E"/>
    <w:rsid w:val="00C53CAB"/>
    <w:rsid w:val="00C64ED8"/>
    <w:rsid w:val="00C673DC"/>
    <w:rsid w:val="00C77652"/>
    <w:rsid w:val="00C93A4C"/>
    <w:rsid w:val="00CD5496"/>
    <w:rsid w:val="00D02882"/>
    <w:rsid w:val="00D13CEF"/>
    <w:rsid w:val="00D23F91"/>
    <w:rsid w:val="00D34331"/>
    <w:rsid w:val="00DA7749"/>
    <w:rsid w:val="00DB4769"/>
    <w:rsid w:val="00DF73EC"/>
    <w:rsid w:val="00DF77E0"/>
    <w:rsid w:val="00E01CD2"/>
    <w:rsid w:val="00E05FC1"/>
    <w:rsid w:val="00E20EB1"/>
    <w:rsid w:val="00E22B89"/>
    <w:rsid w:val="00E30E59"/>
    <w:rsid w:val="00E31602"/>
    <w:rsid w:val="00E429EA"/>
    <w:rsid w:val="00E65FDF"/>
    <w:rsid w:val="00EE5E4D"/>
    <w:rsid w:val="00F02623"/>
    <w:rsid w:val="00F231C6"/>
    <w:rsid w:val="00FC04C3"/>
    <w:rsid w:val="00FD326A"/>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0"/>
    <w:lsdException w:name="Body Text" w:uiPriority="0"/>
    <w:lsdException w:name="Subtitle" w:semiHidden="0" w:uiPriority="11" w:unhideWhenUsed="0" w:qFormat="1"/>
    <w:lsdException w:name="Body Text 2" w:uiPriority="0"/>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D26DE"/>
    <w:rPr>
      <w:rFonts w:ascii="Arial" w:hAnsi="Arial"/>
      <w:sz w:val="16"/>
      <w:szCs w:val="24"/>
    </w:rPr>
  </w:style>
  <w:style w:type="paragraph" w:styleId="Heading1">
    <w:name w:val="heading 1"/>
    <w:basedOn w:val="Normal"/>
    <w:next w:val="Normal"/>
    <w:qFormat/>
    <w:rsid w:val="006C480A"/>
    <w:pPr>
      <w:keepNext/>
      <w:overflowPunct w:val="0"/>
      <w:autoSpaceDE w:val="0"/>
      <w:autoSpaceDN w:val="0"/>
      <w:adjustRightInd w:val="0"/>
      <w:jc w:val="both"/>
      <w:textAlignment w:val="baseline"/>
      <w:outlineLvl w:val="0"/>
    </w:pPr>
    <w:rPr>
      <w:b/>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semiHidden/>
    <w:rsid w:val="006C480A"/>
    <w:pPr>
      <w:overflowPunct w:val="0"/>
      <w:autoSpaceDE w:val="0"/>
      <w:autoSpaceDN w:val="0"/>
      <w:adjustRightInd w:val="0"/>
      <w:jc w:val="both"/>
      <w:textAlignment w:val="baseline"/>
    </w:pPr>
    <w:rPr>
      <w:sz w:val="20"/>
      <w:szCs w:val="20"/>
    </w:rPr>
  </w:style>
  <w:style w:type="paragraph" w:styleId="BodyText2">
    <w:name w:val="Body Text 2"/>
    <w:basedOn w:val="Normal"/>
    <w:semiHidden/>
    <w:rsid w:val="006C480A"/>
    <w:pPr>
      <w:overflowPunct w:val="0"/>
      <w:autoSpaceDE w:val="0"/>
      <w:autoSpaceDN w:val="0"/>
      <w:adjustRightInd w:val="0"/>
      <w:jc w:val="both"/>
      <w:textAlignment w:val="baseline"/>
    </w:pPr>
    <w:rPr>
      <w:szCs w:val="20"/>
    </w:rPr>
  </w:style>
  <w:style w:type="paragraph" w:styleId="Footer">
    <w:name w:val="footer"/>
    <w:basedOn w:val="Normal"/>
    <w:link w:val="FooterChar"/>
    <w:uiPriority w:val="99"/>
    <w:rsid w:val="006C480A"/>
    <w:pPr>
      <w:tabs>
        <w:tab w:val="center" w:pos="4320"/>
        <w:tab w:val="right" w:pos="8640"/>
      </w:tabs>
      <w:overflowPunct w:val="0"/>
      <w:autoSpaceDE w:val="0"/>
      <w:autoSpaceDN w:val="0"/>
      <w:adjustRightInd w:val="0"/>
      <w:textAlignment w:val="baseline"/>
    </w:pPr>
    <w:rPr>
      <w:szCs w:val="20"/>
    </w:rPr>
  </w:style>
  <w:style w:type="character" w:styleId="Hyperlink">
    <w:name w:val="Hyperlink"/>
    <w:basedOn w:val="DefaultParagraphFont"/>
    <w:semiHidden/>
    <w:rsid w:val="006C480A"/>
    <w:rPr>
      <w:color w:val="0000FF"/>
      <w:u w:val="single"/>
    </w:rPr>
  </w:style>
  <w:style w:type="paragraph" w:styleId="Header">
    <w:name w:val="header"/>
    <w:basedOn w:val="Normal"/>
    <w:link w:val="HeaderChar"/>
    <w:uiPriority w:val="99"/>
    <w:semiHidden/>
    <w:unhideWhenUsed/>
    <w:rsid w:val="00526EE2"/>
    <w:pPr>
      <w:tabs>
        <w:tab w:val="center" w:pos="4680"/>
        <w:tab w:val="right" w:pos="9360"/>
      </w:tabs>
    </w:pPr>
  </w:style>
  <w:style w:type="character" w:customStyle="1" w:styleId="HeaderChar">
    <w:name w:val="Header Char"/>
    <w:basedOn w:val="DefaultParagraphFont"/>
    <w:link w:val="Header"/>
    <w:uiPriority w:val="99"/>
    <w:semiHidden/>
    <w:rsid w:val="00526EE2"/>
    <w:rPr>
      <w:sz w:val="24"/>
      <w:szCs w:val="24"/>
    </w:rPr>
  </w:style>
  <w:style w:type="paragraph" w:styleId="BalloonText">
    <w:name w:val="Balloon Text"/>
    <w:basedOn w:val="Normal"/>
    <w:link w:val="BalloonTextChar"/>
    <w:uiPriority w:val="99"/>
    <w:semiHidden/>
    <w:unhideWhenUsed/>
    <w:rsid w:val="0000622F"/>
    <w:rPr>
      <w:rFonts w:ascii="Tahoma" w:hAnsi="Tahoma" w:cs="Tahoma"/>
      <w:szCs w:val="16"/>
    </w:rPr>
  </w:style>
  <w:style w:type="character" w:customStyle="1" w:styleId="BalloonTextChar">
    <w:name w:val="Balloon Text Char"/>
    <w:basedOn w:val="DefaultParagraphFont"/>
    <w:link w:val="BalloonText"/>
    <w:uiPriority w:val="99"/>
    <w:semiHidden/>
    <w:rsid w:val="0000622F"/>
    <w:rPr>
      <w:rFonts w:ascii="Tahoma" w:hAnsi="Tahoma" w:cs="Tahoma"/>
      <w:sz w:val="16"/>
      <w:szCs w:val="16"/>
    </w:rPr>
  </w:style>
  <w:style w:type="character" w:customStyle="1" w:styleId="BodyTextChar">
    <w:name w:val="Body Text Char"/>
    <w:basedOn w:val="DefaultParagraphFont"/>
    <w:semiHidden/>
    <w:rsid w:val="007942B5"/>
  </w:style>
  <w:style w:type="character" w:customStyle="1" w:styleId="FooterChar">
    <w:name w:val="Footer Char"/>
    <w:basedOn w:val="DefaultParagraphFont"/>
    <w:link w:val="Footer"/>
    <w:uiPriority w:val="99"/>
    <w:rsid w:val="004D2D6C"/>
    <w:rPr>
      <w:sz w:val="24"/>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oracle.com/contracts" TargetMode="Externa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2</Pages>
  <Words>1297</Words>
  <Characters>7408</Characters>
  <Application>Microsoft Office Word</Application>
  <DocSecurity>8</DocSecurity>
  <Lines>61</Lines>
  <Paragraphs>17</Paragraphs>
  <ScaleCrop>false</ScaleCrop>
  <HeadingPairs>
    <vt:vector size="2" baseType="variant">
      <vt:variant>
        <vt:lpstr>Title</vt:lpstr>
      </vt:variant>
      <vt:variant>
        <vt:i4>1</vt:i4>
      </vt:variant>
    </vt:vector>
  </HeadingPairs>
  <TitlesOfParts>
    <vt:vector size="1" baseType="lpstr">
      <vt:lpstr>THIRD PARTY FINANCING NOTICE</vt:lpstr>
    </vt:vector>
  </TitlesOfParts>
  <Company>Oracle Corporation</Company>
  <LinksUpToDate>false</LinksUpToDate>
  <CharactersWithSpaces>8688</CharactersWithSpaces>
  <SharedDoc>false</SharedDoc>
  <HLinks>
    <vt:vector size="12" baseType="variant">
      <vt:variant>
        <vt:i4>2293882</vt:i4>
      </vt:variant>
      <vt:variant>
        <vt:i4>3</vt:i4>
      </vt:variant>
      <vt:variant>
        <vt:i4>0</vt:i4>
      </vt:variant>
      <vt:variant>
        <vt:i4>5</vt:i4>
      </vt:variant>
      <vt:variant>
        <vt:lpwstr>http://www.oracle.com/us/products/financing/policies/index.html</vt:lpwstr>
      </vt:variant>
      <vt:variant>
        <vt:lpwstr/>
      </vt:variant>
      <vt:variant>
        <vt:i4>2293882</vt:i4>
      </vt:variant>
      <vt:variant>
        <vt:i4>0</vt:i4>
      </vt:variant>
      <vt:variant>
        <vt:i4>0</vt:i4>
      </vt:variant>
      <vt:variant>
        <vt:i4>5</vt:i4>
      </vt:variant>
      <vt:variant>
        <vt:lpwstr>http://www.oracle.com/us/products/financing/policies/index.html</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THIRD PARTY FINANCING NOTICE</dc:title>
  <dc:creator>Internal Systems</dc:creator>
  <cp:lastModifiedBy>lberzin_us</cp:lastModifiedBy>
  <cp:revision>3</cp:revision>
  <cp:lastPrinted>2013-10-07T22:38:00Z</cp:lastPrinted>
  <dcterms:created xsi:type="dcterms:W3CDTF">2014-07-01T21:51:00Z</dcterms:created>
  <dcterms:modified xsi:type="dcterms:W3CDTF">2014-07-01T21:52:00Z</dcterms:modified>
</cp:coreProperties>
</file>